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BB5724F" w14:textId="77777777" w:rsidR="00B7638A" w:rsidRPr="002207C4" w:rsidRDefault="00B7638A" w:rsidP="002207C4">
      <w:pPr>
        <w:pStyle w:val="Normlnmini"/>
        <w:spacing w:line="276" w:lineRule="auto"/>
        <w:rPr>
          <w:sz w:val="22"/>
          <w:szCs w:val="22"/>
        </w:rPr>
      </w:pPr>
    </w:p>
    <w:p w14:paraId="4A54F9AC" w14:textId="0DEA38A6" w:rsidR="0036304B" w:rsidRPr="0090201A" w:rsidRDefault="00995BAE" w:rsidP="0090201A">
      <w:pPr>
        <w:spacing w:before="0" w:line="276" w:lineRule="auto"/>
        <w:jc w:val="right"/>
        <w:rPr>
          <w:color w:val="212121"/>
          <w:sz w:val="22"/>
          <w:szCs w:val="22"/>
        </w:rPr>
      </w:pPr>
      <w:r w:rsidRPr="0090201A">
        <w:rPr>
          <w:color w:val="212121"/>
          <w:sz w:val="22"/>
          <w:szCs w:val="22"/>
        </w:rPr>
        <w:t xml:space="preserve">Praha </w:t>
      </w:r>
      <w:r w:rsidR="007E561F" w:rsidRPr="007E561F">
        <w:rPr>
          <w:color w:val="212121"/>
          <w:sz w:val="22"/>
          <w:szCs w:val="22"/>
        </w:rPr>
        <w:t>1.</w:t>
      </w:r>
      <w:r w:rsidR="00663695" w:rsidRPr="0090201A">
        <w:rPr>
          <w:color w:val="212121"/>
          <w:sz w:val="22"/>
          <w:szCs w:val="22"/>
        </w:rPr>
        <w:t xml:space="preserve"> </w:t>
      </w:r>
      <w:r w:rsidR="003A17FA">
        <w:rPr>
          <w:color w:val="212121"/>
          <w:sz w:val="22"/>
          <w:szCs w:val="22"/>
        </w:rPr>
        <w:t>7</w:t>
      </w:r>
      <w:r w:rsidRPr="0090201A">
        <w:rPr>
          <w:color w:val="212121"/>
          <w:sz w:val="22"/>
          <w:szCs w:val="22"/>
        </w:rPr>
        <w:t>. 202</w:t>
      </w:r>
      <w:r w:rsidR="008D69F7" w:rsidRPr="0090201A">
        <w:rPr>
          <w:color w:val="212121"/>
          <w:sz w:val="22"/>
          <w:szCs w:val="22"/>
        </w:rPr>
        <w:t>4</w:t>
      </w:r>
    </w:p>
    <w:p w14:paraId="1C8D031A" w14:textId="77777777" w:rsidR="002207C4" w:rsidRPr="0090201A" w:rsidRDefault="002207C4" w:rsidP="0090201A">
      <w:pPr>
        <w:pStyle w:val="Bezmezer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9100212" w14:textId="17CFA80E" w:rsidR="003A17FA" w:rsidRPr="0031593B" w:rsidRDefault="003A17FA" w:rsidP="003A17FA">
      <w:pPr>
        <w:jc w:val="both"/>
        <w:textAlignment w:val="baseline"/>
        <w:rPr>
          <w:b/>
          <w:color w:val="FF0000"/>
          <w:sz w:val="32"/>
          <w:szCs w:val="32"/>
        </w:rPr>
      </w:pPr>
      <w:r w:rsidRPr="0031593B">
        <w:rPr>
          <w:b/>
          <w:color w:val="FF0000"/>
          <w:sz w:val="32"/>
          <w:szCs w:val="32"/>
        </w:rPr>
        <w:t xml:space="preserve">Ročně skončí v nemocnici se salmonelózou stovky lidí, nejčastěji se s ní potkáme v letních měsících </w:t>
      </w:r>
    </w:p>
    <w:p w14:paraId="55714692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  <w:lang w:eastAsia="cs-CZ"/>
        </w:rPr>
      </w:pPr>
      <w:bookmarkStart w:id="0" w:name="_GoBack"/>
      <w:bookmarkEnd w:id="0"/>
    </w:p>
    <w:p w14:paraId="262C5F1B" w14:textId="63EC8266" w:rsidR="003A17FA" w:rsidRPr="003A17FA" w:rsidRDefault="003A17FA" w:rsidP="003A17FA">
      <w:pPr>
        <w:spacing w:before="0" w:line="240" w:lineRule="auto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 xml:space="preserve">Salmonelóza je infekce způsobená bakteriemi rodu </w:t>
      </w:r>
      <w:proofErr w:type="spellStart"/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Salmonella</w:t>
      </w:r>
      <w:proofErr w:type="spellEnd"/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 xml:space="preserve">. Mezi hlavní příznaky patří horečka, průjem, bolesti břicha a zvracení. Vloni muselo kvůli obtížím způsobeným bakterií </w:t>
      </w:r>
      <w:proofErr w:type="spellStart"/>
      <w:r w:rsidR="00526CAB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s</w:t>
      </w:r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almonelly</w:t>
      </w:r>
      <w:proofErr w:type="spellEnd"/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 xml:space="preserve"> vyhledat lékařskou pomoc 4 116 pojištěnců VZP, z nichž 782 bylo dokonce akutně hospitalizováno. V letních měsících je riziko infekce salmonelózy nejvyšší kvůli zvýšené kazivosti potravin, grilování či cestování. Inkubační doba je</w:t>
      </w:r>
      <w:r w:rsidR="00B31AD1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 </w:t>
      </w:r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obvykle 12 až 72 hodin po požití kontaminované potraviny.</w:t>
      </w:r>
    </w:p>
    <w:p w14:paraId="0F495E3C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  <w:lang w:eastAsia="cs-CZ"/>
        </w:rPr>
      </w:pPr>
    </w:p>
    <w:p w14:paraId="0CB0EBF5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 xml:space="preserve">Dle Státního zdravotního ústavu dochází k nákaze u člověka zejména po konzumaci kontaminovaných potravin, jako například vajec, nedostatečně tepelně opracovaného masa, zmrzlin obsahujících nepasterizovaná vejce či nepasterizovaného mléka. V ČR nejčastěji dochází k onemocnění při veřejném stravování a při letních rodinných oslavách a grilování, protože salmonele teplé počasí svědčí. Počet pacientů mezi klienty VZP ČR meziročně setrvale klesá, přesto jich i vloni víc než 4 000 vyhledaly pomoc lékaře a každý pátý z nich byl kvůli salmonele hospitalizován. Na léčbu VZP ČR vloni vynaložila téměř 19 milionů korun. </w:t>
      </w:r>
    </w:p>
    <w:p w14:paraId="7A58C668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</w:p>
    <w:p w14:paraId="3AC06AA9" w14:textId="77777777" w:rsidR="003A17FA" w:rsidRPr="00B31AD1" w:rsidRDefault="003A17FA" w:rsidP="003A17FA">
      <w:pPr>
        <w:spacing w:before="0" w:line="240" w:lineRule="auto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  <w:lang w:eastAsia="cs-CZ"/>
        </w:rPr>
      </w:pPr>
      <w:r w:rsidRPr="00B31AD1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Pojištěnci VZP, kteří se v uplynulých 5 letech léčili se salmonelózou</w:t>
      </w:r>
    </w:p>
    <w:p w14:paraId="02C89803" w14:textId="77777777" w:rsidR="003A17FA" w:rsidRPr="003A17FA" w:rsidRDefault="003A17FA" w:rsidP="003A17FA">
      <w:pPr>
        <w:spacing w:before="0" w:line="240" w:lineRule="auto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2090"/>
        <w:gridCol w:w="2090"/>
        <w:gridCol w:w="2090"/>
      </w:tblGrid>
      <w:tr w:rsidR="003A17FA" w:rsidRPr="003A17FA" w14:paraId="3B3A36FD" w14:textId="77777777" w:rsidTr="00B31AD1">
        <w:tc>
          <w:tcPr>
            <w:tcW w:w="1522" w:type="dxa"/>
            <w:shd w:val="clear" w:color="auto" w:fill="C0504D"/>
            <w:vAlign w:val="center"/>
          </w:tcPr>
          <w:p w14:paraId="647C4A8F" w14:textId="47EE3E29" w:rsidR="003A17FA" w:rsidRPr="003A17FA" w:rsidRDefault="00B31AD1" w:rsidP="00B31AD1">
            <w:pPr>
              <w:spacing w:before="0" w:line="240" w:lineRule="auto"/>
              <w:jc w:val="center"/>
              <w:textAlignment w:val="baseline"/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</w:pPr>
            <w:r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  <w:t>Rok</w:t>
            </w:r>
          </w:p>
        </w:tc>
        <w:tc>
          <w:tcPr>
            <w:tcW w:w="2090" w:type="dxa"/>
            <w:shd w:val="clear" w:color="auto" w:fill="C0504D"/>
            <w:vAlign w:val="center"/>
          </w:tcPr>
          <w:p w14:paraId="0F4534E2" w14:textId="77777777" w:rsidR="003A17FA" w:rsidRPr="003A17FA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3A17FA"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  <w:t>Počet pacientů</w:t>
            </w:r>
          </w:p>
        </w:tc>
        <w:tc>
          <w:tcPr>
            <w:tcW w:w="2090" w:type="dxa"/>
            <w:shd w:val="clear" w:color="auto" w:fill="C0504D"/>
            <w:vAlign w:val="center"/>
          </w:tcPr>
          <w:p w14:paraId="6D0A7FEA" w14:textId="77777777" w:rsidR="003A17FA" w:rsidRPr="003A17FA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3A17FA"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  <w:t>Počet akutních hospitalizací</w:t>
            </w:r>
          </w:p>
        </w:tc>
        <w:tc>
          <w:tcPr>
            <w:tcW w:w="2090" w:type="dxa"/>
            <w:shd w:val="clear" w:color="auto" w:fill="C0504D"/>
            <w:vAlign w:val="center"/>
          </w:tcPr>
          <w:p w14:paraId="46DA2E97" w14:textId="77777777" w:rsidR="003A17FA" w:rsidRPr="003A17FA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3A17FA">
              <w:rPr>
                <w:b/>
                <w:color w:val="FFFFFF" w:themeColor="background1"/>
                <w:sz w:val="22"/>
                <w:szCs w:val="22"/>
                <w:bdr w:val="none" w:sz="0" w:space="0" w:color="auto" w:frame="1"/>
                <w:lang w:eastAsia="cs-CZ"/>
              </w:rPr>
              <w:t>Náklady na léčbu v Kč</w:t>
            </w:r>
          </w:p>
        </w:tc>
      </w:tr>
      <w:tr w:rsidR="003A17FA" w:rsidRPr="003A17FA" w14:paraId="7A87B5EE" w14:textId="77777777" w:rsidTr="00B31AD1">
        <w:trPr>
          <w:trHeight w:val="284"/>
        </w:trPr>
        <w:tc>
          <w:tcPr>
            <w:tcW w:w="1522" w:type="dxa"/>
            <w:shd w:val="clear" w:color="auto" w:fill="DFA7A6"/>
          </w:tcPr>
          <w:p w14:paraId="435C6379" w14:textId="77777777" w:rsidR="003A17FA" w:rsidRPr="00B31AD1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B31AD1"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  <w:t>2019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4A60F172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7 396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041B901D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1053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30745904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23 025 057</w:t>
            </w:r>
          </w:p>
        </w:tc>
      </w:tr>
      <w:tr w:rsidR="003A17FA" w:rsidRPr="003A17FA" w14:paraId="6B8FBE90" w14:textId="77777777" w:rsidTr="00B31AD1">
        <w:trPr>
          <w:trHeight w:val="284"/>
        </w:trPr>
        <w:tc>
          <w:tcPr>
            <w:tcW w:w="1522" w:type="dxa"/>
            <w:shd w:val="clear" w:color="auto" w:fill="EFD3D2"/>
          </w:tcPr>
          <w:p w14:paraId="435B769A" w14:textId="77777777" w:rsidR="003A17FA" w:rsidRPr="00B31AD1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B31AD1"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  <w:t>2020</w:t>
            </w:r>
          </w:p>
        </w:tc>
        <w:tc>
          <w:tcPr>
            <w:tcW w:w="2090" w:type="dxa"/>
            <w:shd w:val="clear" w:color="auto" w:fill="EFD3D2"/>
            <w:vAlign w:val="center"/>
          </w:tcPr>
          <w:p w14:paraId="26E1D7A0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6304</w:t>
            </w:r>
          </w:p>
        </w:tc>
        <w:tc>
          <w:tcPr>
            <w:tcW w:w="2090" w:type="dxa"/>
            <w:shd w:val="clear" w:color="auto" w:fill="EFD3D2"/>
            <w:vAlign w:val="center"/>
          </w:tcPr>
          <w:p w14:paraId="4119DB42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1013</w:t>
            </w:r>
          </w:p>
        </w:tc>
        <w:tc>
          <w:tcPr>
            <w:tcW w:w="2090" w:type="dxa"/>
            <w:shd w:val="clear" w:color="auto" w:fill="EFD3D2"/>
            <w:vAlign w:val="center"/>
          </w:tcPr>
          <w:p w14:paraId="17FD4D6B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24 787 506</w:t>
            </w:r>
          </w:p>
        </w:tc>
      </w:tr>
      <w:tr w:rsidR="003A17FA" w:rsidRPr="003A17FA" w14:paraId="2280AA2C" w14:textId="77777777" w:rsidTr="00B31AD1">
        <w:trPr>
          <w:trHeight w:val="284"/>
        </w:trPr>
        <w:tc>
          <w:tcPr>
            <w:tcW w:w="1522" w:type="dxa"/>
            <w:shd w:val="clear" w:color="auto" w:fill="DFA7A6"/>
          </w:tcPr>
          <w:p w14:paraId="048E791A" w14:textId="77777777" w:rsidR="003A17FA" w:rsidRPr="00B31AD1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B31AD1"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  <w:t>2021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68C88561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5 791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6FB1B726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987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0FCC0FA3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23 142 845</w:t>
            </w:r>
          </w:p>
        </w:tc>
      </w:tr>
      <w:tr w:rsidR="003A17FA" w:rsidRPr="003A17FA" w14:paraId="65FF13CC" w14:textId="77777777" w:rsidTr="00B31AD1">
        <w:trPr>
          <w:trHeight w:val="284"/>
        </w:trPr>
        <w:tc>
          <w:tcPr>
            <w:tcW w:w="1522" w:type="dxa"/>
            <w:shd w:val="clear" w:color="auto" w:fill="EFD3D2"/>
          </w:tcPr>
          <w:p w14:paraId="3D0D182D" w14:textId="77777777" w:rsidR="003A17FA" w:rsidRPr="00B31AD1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B31AD1"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  <w:t>2022</w:t>
            </w:r>
          </w:p>
        </w:tc>
        <w:tc>
          <w:tcPr>
            <w:tcW w:w="2090" w:type="dxa"/>
            <w:shd w:val="clear" w:color="auto" w:fill="EFD3D2"/>
            <w:vAlign w:val="center"/>
          </w:tcPr>
          <w:p w14:paraId="3A65470C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4 397</w:t>
            </w:r>
          </w:p>
        </w:tc>
        <w:tc>
          <w:tcPr>
            <w:tcW w:w="2090" w:type="dxa"/>
            <w:shd w:val="clear" w:color="auto" w:fill="EFD3D2"/>
            <w:vAlign w:val="center"/>
          </w:tcPr>
          <w:p w14:paraId="5A6362E3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754</w:t>
            </w:r>
          </w:p>
        </w:tc>
        <w:tc>
          <w:tcPr>
            <w:tcW w:w="2090" w:type="dxa"/>
            <w:shd w:val="clear" w:color="auto" w:fill="EFD3D2"/>
            <w:vAlign w:val="center"/>
          </w:tcPr>
          <w:p w14:paraId="31D57BE7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21 152 049</w:t>
            </w:r>
          </w:p>
        </w:tc>
      </w:tr>
      <w:tr w:rsidR="003A17FA" w:rsidRPr="003A17FA" w14:paraId="37D52F6D" w14:textId="77777777" w:rsidTr="00B31AD1">
        <w:trPr>
          <w:trHeight w:val="284"/>
        </w:trPr>
        <w:tc>
          <w:tcPr>
            <w:tcW w:w="1522" w:type="dxa"/>
            <w:shd w:val="clear" w:color="auto" w:fill="DFA7A6"/>
          </w:tcPr>
          <w:p w14:paraId="05A772DF" w14:textId="77777777" w:rsidR="003A17FA" w:rsidRPr="00B31AD1" w:rsidRDefault="003A17FA" w:rsidP="00B31AD1">
            <w:pPr>
              <w:spacing w:before="0" w:line="240" w:lineRule="auto"/>
              <w:jc w:val="center"/>
              <w:textAlignment w:val="baseline"/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</w:pPr>
            <w:r w:rsidRPr="00B31AD1">
              <w:rPr>
                <w:b/>
                <w:color w:val="000000"/>
                <w:sz w:val="22"/>
                <w:szCs w:val="22"/>
                <w:bdr w:val="none" w:sz="0" w:space="0" w:color="auto" w:frame="1"/>
                <w:lang w:eastAsia="cs-CZ"/>
              </w:rPr>
              <w:t>2023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03EE8EDC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4 116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71EB4A16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782</w:t>
            </w:r>
          </w:p>
        </w:tc>
        <w:tc>
          <w:tcPr>
            <w:tcW w:w="2090" w:type="dxa"/>
            <w:shd w:val="clear" w:color="auto" w:fill="DFA7A6"/>
            <w:vAlign w:val="center"/>
          </w:tcPr>
          <w:p w14:paraId="6A8628B9" w14:textId="77777777" w:rsidR="003A17FA" w:rsidRPr="003A17FA" w:rsidRDefault="003A17FA" w:rsidP="003A17FA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3A17FA">
              <w:rPr>
                <w:sz w:val="22"/>
                <w:szCs w:val="22"/>
              </w:rPr>
              <w:t>18 594 296</w:t>
            </w:r>
          </w:p>
        </w:tc>
      </w:tr>
    </w:tbl>
    <w:p w14:paraId="088949DC" w14:textId="77777777" w:rsidR="003A17FA" w:rsidRPr="003A17FA" w:rsidRDefault="003A17FA" w:rsidP="003A17FA">
      <w:pPr>
        <w:spacing w:before="0" w:line="240" w:lineRule="auto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</w:p>
    <w:p w14:paraId="15E3278F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</w:p>
    <w:p w14:paraId="05960BDE" w14:textId="42C9B10E" w:rsidR="003A17FA" w:rsidRDefault="003A17FA" w:rsidP="003A17FA">
      <w:pPr>
        <w:spacing w:before="0" w:line="240" w:lineRule="auto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b/>
          <w:color w:val="000000"/>
          <w:sz w:val="22"/>
          <w:szCs w:val="22"/>
          <w:bdr w:val="none" w:sz="0" w:space="0" w:color="auto" w:frame="1"/>
          <w:lang w:eastAsia="cs-CZ"/>
        </w:rPr>
        <w:t>Léčba salmonely</w:t>
      </w:r>
    </w:p>
    <w:p w14:paraId="4E9A483E" w14:textId="77777777" w:rsidR="00B31AD1" w:rsidRPr="00B31AD1" w:rsidRDefault="00B31AD1" w:rsidP="003A17FA">
      <w:pPr>
        <w:spacing w:before="0" w:line="240" w:lineRule="auto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  <w:lang w:eastAsia="cs-CZ"/>
        </w:rPr>
      </w:pPr>
    </w:p>
    <w:p w14:paraId="6851E5AA" w14:textId="0FD24A6B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>Většinu průjmových onemocnění lze zvládnout ambulantně a následně v domácí péči. Základem je příjem dostatečného množství tekutin</w:t>
      </w:r>
      <w:r w:rsidRPr="003A17FA">
        <w:rPr>
          <w:sz w:val="22"/>
          <w:szCs w:val="22"/>
          <w:bdr w:val="none" w:sz="0" w:space="0" w:color="auto" w:frame="1"/>
          <w:lang w:eastAsia="cs-CZ"/>
        </w:rPr>
        <w:t xml:space="preserve"> (</w:t>
      </w: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>při výraznějším průjmu by dospělí měli vypít i 3-4</w:t>
      </w:r>
      <w:r w:rsidR="00B31AD1">
        <w:rPr>
          <w:color w:val="000000"/>
          <w:sz w:val="22"/>
          <w:szCs w:val="22"/>
          <w:bdr w:val="none" w:sz="0" w:space="0" w:color="auto" w:frame="1"/>
          <w:lang w:eastAsia="cs-CZ"/>
        </w:rPr>
        <w:t> </w:t>
      </w: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>l). Vhodné jsou nesycené minerálky bez příchutě, černý čaj a rehydratační roztoky. Pomohou i volně prodejné léky k zahuštění stolice.</w:t>
      </w:r>
    </w:p>
    <w:p w14:paraId="28E4966E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 xml:space="preserve"> </w:t>
      </w:r>
    </w:p>
    <w:p w14:paraId="646BD479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>V některých závažných případech, kdy postižený není schopen přijímat tekutiny, je nutná akutní hospitalizace a rehydratace intravenózně.</w:t>
      </w:r>
    </w:p>
    <w:p w14:paraId="17C30FFC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</w:p>
    <w:p w14:paraId="3148EAD9" w14:textId="77777777" w:rsidR="003A17FA" w:rsidRPr="003A17FA" w:rsidRDefault="003A17FA" w:rsidP="003A17FA">
      <w:pPr>
        <w:spacing w:before="0" w:line="240" w:lineRule="auto"/>
        <w:jc w:val="both"/>
        <w:textAlignment w:val="baseline"/>
        <w:rPr>
          <w:color w:val="000000"/>
          <w:sz w:val="22"/>
          <w:szCs w:val="22"/>
          <w:bdr w:val="none" w:sz="0" w:space="0" w:color="auto" w:frame="1"/>
          <w:lang w:eastAsia="cs-CZ"/>
        </w:rPr>
      </w:pPr>
      <w:r w:rsidRPr="003A17FA">
        <w:rPr>
          <w:color w:val="000000"/>
          <w:sz w:val="22"/>
          <w:szCs w:val="22"/>
          <w:bdr w:val="none" w:sz="0" w:space="0" w:color="auto" w:frame="1"/>
          <w:lang w:eastAsia="cs-CZ"/>
        </w:rPr>
        <w:t xml:space="preserve">Salmonelóza patří k nemocem, které podléhají povinnému hlášení orgánům ochrany veřejného zdraví, tj. např. na krajskou hygienickou stanici. </w:t>
      </w:r>
    </w:p>
    <w:p w14:paraId="5566586E" w14:textId="77777777" w:rsidR="003A17FA" w:rsidRPr="003A17FA" w:rsidRDefault="003A17FA" w:rsidP="003A17FA">
      <w:pPr>
        <w:spacing w:before="0" w:line="240" w:lineRule="auto"/>
        <w:jc w:val="both"/>
        <w:rPr>
          <w:sz w:val="22"/>
          <w:szCs w:val="22"/>
        </w:rPr>
      </w:pPr>
    </w:p>
    <w:p w14:paraId="525B4662" w14:textId="77777777" w:rsidR="003A17FA" w:rsidRPr="003A17FA" w:rsidRDefault="003A17FA" w:rsidP="003A17FA">
      <w:pPr>
        <w:keepNext/>
        <w:spacing w:before="0" w:line="240" w:lineRule="auto"/>
        <w:jc w:val="both"/>
        <w:rPr>
          <w:b/>
          <w:sz w:val="22"/>
          <w:szCs w:val="22"/>
        </w:rPr>
      </w:pPr>
      <w:r w:rsidRPr="003A17FA">
        <w:rPr>
          <w:b/>
          <w:sz w:val="22"/>
          <w:szCs w:val="22"/>
        </w:rPr>
        <w:lastRenderedPageBreak/>
        <w:t xml:space="preserve">Prevence onemocnění </w:t>
      </w:r>
    </w:p>
    <w:p w14:paraId="12A7EFF3" w14:textId="77777777" w:rsidR="003A17FA" w:rsidRPr="003A17FA" w:rsidRDefault="003A17FA" w:rsidP="003A17FA">
      <w:pPr>
        <w:keepNext/>
        <w:spacing w:before="0" w:line="240" w:lineRule="auto"/>
        <w:jc w:val="both"/>
        <w:rPr>
          <w:sz w:val="22"/>
          <w:szCs w:val="22"/>
        </w:rPr>
      </w:pPr>
    </w:p>
    <w:p w14:paraId="4FAD08A8" w14:textId="6D883207" w:rsidR="003A17FA" w:rsidRPr="003A17FA" w:rsidRDefault="003A17FA" w:rsidP="003A17FA">
      <w:pPr>
        <w:keepNext/>
        <w:spacing w:before="0" w:line="240" w:lineRule="auto"/>
        <w:jc w:val="both"/>
        <w:rPr>
          <w:sz w:val="22"/>
          <w:szCs w:val="22"/>
        </w:rPr>
      </w:pPr>
      <w:r w:rsidRPr="003A17FA">
        <w:rPr>
          <w:sz w:val="22"/>
          <w:szCs w:val="22"/>
        </w:rPr>
        <w:t>Prevence je klíčová k minimalizaci rizika nákazy. Jedním z nejdůležitějších opatření je</w:t>
      </w:r>
      <w:r w:rsidR="00B31AD1">
        <w:rPr>
          <w:sz w:val="22"/>
          <w:szCs w:val="22"/>
        </w:rPr>
        <w:t> </w:t>
      </w:r>
      <w:r w:rsidRPr="003A17FA">
        <w:rPr>
          <w:sz w:val="22"/>
          <w:szCs w:val="22"/>
        </w:rPr>
        <w:t>dodržování základních hygienických pravidel. Zásadní je také řádná tepelná příprava a</w:t>
      </w:r>
      <w:r w:rsidR="00B31AD1">
        <w:rPr>
          <w:sz w:val="22"/>
          <w:szCs w:val="22"/>
        </w:rPr>
        <w:t> </w:t>
      </w:r>
      <w:r w:rsidRPr="003A17FA">
        <w:rPr>
          <w:sz w:val="22"/>
          <w:szCs w:val="22"/>
        </w:rPr>
        <w:t xml:space="preserve">skladování potravin. Neméně důležitá je i bezpečnost pitné vody. </w:t>
      </w:r>
    </w:p>
    <w:p w14:paraId="3C31E488" w14:textId="77777777" w:rsidR="003A17FA" w:rsidRPr="003A17FA" w:rsidRDefault="003A17FA" w:rsidP="003A17FA">
      <w:pPr>
        <w:keepNext/>
        <w:spacing w:before="0" w:line="240" w:lineRule="auto"/>
        <w:jc w:val="both"/>
        <w:rPr>
          <w:sz w:val="22"/>
          <w:szCs w:val="22"/>
        </w:rPr>
      </w:pPr>
    </w:p>
    <w:p w14:paraId="61190487" w14:textId="77777777" w:rsidR="003A17FA" w:rsidRPr="003A17FA" w:rsidRDefault="003A17FA" w:rsidP="003A17FA">
      <w:pPr>
        <w:keepNext/>
        <w:spacing w:before="0" w:line="240" w:lineRule="auto"/>
        <w:jc w:val="both"/>
        <w:rPr>
          <w:sz w:val="22"/>
          <w:szCs w:val="22"/>
        </w:rPr>
      </w:pPr>
      <w:r w:rsidRPr="003A17FA">
        <w:rPr>
          <w:sz w:val="22"/>
          <w:szCs w:val="22"/>
        </w:rPr>
        <w:t>V případě podezření na salmonelózu je důležité vyhledat lékařskou pomoc, aby byla zajištěna správná diagnóza a léčba.</w:t>
      </w:r>
    </w:p>
    <w:p w14:paraId="005452BC" w14:textId="1CF4278A" w:rsidR="002207C4" w:rsidRDefault="002207C4" w:rsidP="003A17FA">
      <w:pPr>
        <w:pStyle w:val="Bezmezer"/>
        <w:jc w:val="both"/>
        <w:rPr>
          <w:rFonts w:ascii="Arial" w:hAnsi="Arial"/>
          <w:sz w:val="22"/>
          <w:szCs w:val="22"/>
        </w:rPr>
      </w:pPr>
    </w:p>
    <w:p w14:paraId="27A0EC2C" w14:textId="77777777" w:rsidR="00B31AD1" w:rsidRPr="002207C4" w:rsidRDefault="00B31AD1" w:rsidP="003A17FA">
      <w:pPr>
        <w:pStyle w:val="Bezmezer"/>
        <w:jc w:val="both"/>
        <w:rPr>
          <w:rFonts w:ascii="Arial" w:hAnsi="Arial"/>
          <w:sz w:val="22"/>
          <w:szCs w:val="22"/>
        </w:rPr>
      </w:pPr>
    </w:p>
    <w:p w14:paraId="39B6AFCC" w14:textId="77777777" w:rsidR="002207C4" w:rsidRPr="002207C4" w:rsidRDefault="002207C4" w:rsidP="003A17FA">
      <w:pPr>
        <w:pStyle w:val="Bezmezer"/>
        <w:jc w:val="both"/>
        <w:rPr>
          <w:rFonts w:ascii="Arial" w:hAnsi="Arial"/>
          <w:sz w:val="22"/>
          <w:szCs w:val="22"/>
        </w:rPr>
      </w:pPr>
    </w:p>
    <w:p w14:paraId="465AF1C0" w14:textId="47600435" w:rsidR="00995BAE" w:rsidRPr="00B7638A" w:rsidRDefault="00526A50" w:rsidP="003A17FA">
      <w:pPr>
        <w:spacing w:before="0" w:line="240" w:lineRule="auto"/>
        <w:rPr>
          <w:b/>
          <w:bCs/>
          <w:sz w:val="22"/>
          <w:szCs w:val="22"/>
        </w:rPr>
      </w:pPr>
      <w:r w:rsidRPr="00B7638A">
        <w:rPr>
          <w:b/>
          <w:bCs/>
          <w:sz w:val="22"/>
          <w:szCs w:val="22"/>
        </w:rPr>
        <w:t>Viktorie Plívová</w:t>
      </w:r>
    </w:p>
    <w:p w14:paraId="29F91A9C" w14:textId="6787658C" w:rsidR="00995BAE" w:rsidRPr="00B7638A" w:rsidRDefault="00526A50" w:rsidP="003A17FA">
      <w:pPr>
        <w:spacing w:before="0" w:line="240" w:lineRule="auto"/>
        <w:rPr>
          <w:sz w:val="22"/>
          <w:szCs w:val="22"/>
        </w:rPr>
      </w:pPr>
      <w:r w:rsidRPr="00B7638A">
        <w:rPr>
          <w:sz w:val="22"/>
          <w:szCs w:val="22"/>
        </w:rPr>
        <w:t>Tisková mluvčí</w:t>
      </w:r>
    </w:p>
    <w:sectPr w:rsidR="00995BAE" w:rsidRPr="00B7638A" w:rsidSect="00B7638A">
      <w:footerReference w:type="default" r:id="rId11"/>
      <w:pgSz w:w="11906" w:h="16838"/>
      <w:pgMar w:top="1417" w:right="1417" w:bottom="1985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A5F62" w14:textId="77777777" w:rsidR="000918FA" w:rsidRDefault="000918FA" w:rsidP="00844E5F">
      <w:pPr>
        <w:spacing w:before="0" w:line="240" w:lineRule="auto"/>
      </w:pPr>
      <w:r>
        <w:separator/>
      </w:r>
    </w:p>
  </w:endnote>
  <w:endnote w:type="continuationSeparator" w:id="0">
    <w:p w14:paraId="2DF671CA" w14:textId="77777777" w:rsidR="000918FA" w:rsidRDefault="000918FA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6272" w14:textId="77777777" w:rsidR="000918FA" w:rsidRDefault="000918FA" w:rsidP="00844E5F">
      <w:pPr>
        <w:spacing w:before="0" w:line="240" w:lineRule="auto"/>
      </w:pPr>
      <w:r>
        <w:separator/>
      </w:r>
    </w:p>
  </w:footnote>
  <w:footnote w:type="continuationSeparator" w:id="0">
    <w:p w14:paraId="2C96735F" w14:textId="77777777" w:rsidR="000918FA" w:rsidRDefault="000918FA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00714"/>
    <w:multiLevelType w:val="hybridMultilevel"/>
    <w:tmpl w:val="70A00C4C"/>
    <w:lvl w:ilvl="0" w:tplc="2902B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6A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C48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6D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0B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CA2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6E6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613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AC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A0CEA"/>
    <w:multiLevelType w:val="hybridMultilevel"/>
    <w:tmpl w:val="2012D722"/>
    <w:lvl w:ilvl="0" w:tplc="DBBA0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6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80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EB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A9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8D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41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62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9F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003FD8"/>
    <w:multiLevelType w:val="multilevel"/>
    <w:tmpl w:val="19F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C6183"/>
    <w:multiLevelType w:val="hybridMultilevel"/>
    <w:tmpl w:val="4E5EE3CC"/>
    <w:lvl w:ilvl="0" w:tplc="9FC86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4CE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E4B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43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67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69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AB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4E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5C9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FC5D95"/>
    <w:multiLevelType w:val="hybridMultilevel"/>
    <w:tmpl w:val="F1061D80"/>
    <w:lvl w:ilvl="0" w:tplc="4092A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85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42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4B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6E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EB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60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EC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A24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54AE1"/>
    <w:multiLevelType w:val="hybridMultilevel"/>
    <w:tmpl w:val="B412BF4E"/>
    <w:lvl w:ilvl="0" w:tplc="A30A4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23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988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30A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CA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EE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56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CCF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C83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DB5CEB"/>
    <w:multiLevelType w:val="hybridMultilevel"/>
    <w:tmpl w:val="EB5E30EC"/>
    <w:lvl w:ilvl="0" w:tplc="2FF40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62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A7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B47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63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E8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6E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A7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2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66668A"/>
    <w:multiLevelType w:val="hybridMultilevel"/>
    <w:tmpl w:val="EFCE552A"/>
    <w:lvl w:ilvl="0" w:tplc="ACB06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09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3C9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BC2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62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4AB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4E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47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5A8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B4E2892"/>
    <w:multiLevelType w:val="hybridMultilevel"/>
    <w:tmpl w:val="4620B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6100A"/>
    <w:multiLevelType w:val="hybridMultilevel"/>
    <w:tmpl w:val="E97840E8"/>
    <w:lvl w:ilvl="0" w:tplc="99527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AA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A2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FA8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01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49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09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0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6C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14A4C"/>
    <w:rsid w:val="00015469"/>
    <w:rsid w:val="000249DD"/>
    <w:rsid w:val="00030E74"/>
    <w:rsid w:val="0005031F"/>
    <w:rsid w:val="00082A67"/>
    <w:rsid w:val="00084206"/>
    <w:rsid w:val="000918FA"/>
    <w:rsid w:val="000C08E4"/>
    <w:rsid w:val="000F0D97"/>
    <w:rsid w:val="000F600B"/>
    <w:rsid w:val="00111EF0"/>
    <w:rsid w:val="00117FF2"/>
    <w:rsid w:val="00147A45"/>
    <w:rsid w:val="0015715C"/>
    <w:rsid w:val="0016318C"/>
    <w:rsid w:val="0017097A"/>
    <w:rsid w:val="0017369C"/>
    <w:rsid w:val="00173A2F"/>
    <w:rsid w:val="00190EE7"/>
    <w:rsid w:val="001C2E72"/>
    <w:rsid w:val="001C5526"/>
    <w:rsid w:val="00203CC1"/>
    <w:rsid w:val="00207969"/>
    <w:rsid w:val="002207C4"/>
    <w:rsid w:val="00250A59"/>
    <w:rsid w:val="002539D7"/>
    <w:rsid w:val="002736A4"/>
    <w:rsid w:val="00296AFA"/>
    <w:rsid w:val="002A284E"/>
    <w:rsid w:val="002E32D0"/>
    <w:rsid w:val="002F1B6E"/>
    <w:rsid w:val="00320402"/>
    <w:rsid w:val="00322A4A"/>
    <w:rsid w:val="003265D8"/>
    <w:rsid w:val="0036304B"/>
    <w:rsid w:val="00372F77"/>
    <w:rsid w:val="00383732"/>
    <w:rsid w:val="00391204"/>
    <w:rsid w:val="00394309"/>
    <w:rsid w:val="003A17FA"/>
    <w:rsid w:val="003D5F56"/>
    <w:rsid w:val="003F2E5F"/>
    <w:rsid w:val="003F6E42"/>
    <w:rsid w:val="004359B2"/>
    <w:rsid w:val="00440D2A"/>
    <w:rsid w:val="00454E77"/>
    <w:rsid w:val="0045620E"/>
    <w:rsid w:val="004675A2"/>
    <w:rsid w:val="00487D7E"/>
    <w:rsid w:val="004A77BF"/>
    <w:rsid w:val="004A77F8"/>
    <w:rsid w:val="004E5DFB"/>
    <w:rsid w:val="00526A50"/>
    <w:rsid w:val="00526CAB"/>
    <w:rsid w:val="005443DA"/>
    <w:rsid w:val="00550B65"/>
    <w:rsid w:val="0055776A"/>
    <w:rsid w:val="005735D4"/>
    <w:rsid w:val="005A143E"/>
    <w:rsid w:val="005B620A"/>
    <w:rsid w:val="005D2BE2"/>
    <w:rsid w:val="006212C7"/>
    <w:rsid w:val="006421B3"/>
    <w:rsid w:val="006445EF"/>
    <w:rsid w:val="006535BC"/>
    <w:rsid w:val="00663695"/>
    <w:rsid w:val="00677A82"/>
    <w:rsid w:val="00691317"/>
    <w:rsid w:val="00692259"/>
    <w:rsid w:val="006C05CA"/>
    <w:rsid w:val="006E2FF8"/>
    <w:rsid w:val="006E6333"/>
    <w:rsid w:val="006F103F"/>
    <w:rsid w:val="007038D7"/>
    <w:rsid w:val="00705942"/>
    <w:rsid w:val="00712BC5"/>
    <w:rsid w:val="00721A96"/>
    <w:rsid w:val="00767D50"/>
    <w:rsid w:val="00773145"/>
    <w:rsid w:val="007C63D9"/>
    <w:rsid w:val="007E561F"/>
    <w:rsid w:val="008332DA"/>
    <w:rsid w:val="00844E5F"/>
    <w:rsid w:val="00845CD7"/>
    <w:rsid w:val="008823D4"/>
    <w:rsid w:val="00892F70"/>
    <w:rsid w:val="008941D2"/>
    <w:rsid w:val="008C7837"/>
    <w:rsid w:val="008D26F1"/>
    <w:rsid w:val="008D3E0A"/>
    <w:rsid w:val="008D69F7"/>
    <w:rsid w:val="0090201A"/>
    <w:rsid w:val="00917156"/>
    <w:rsid w:val="00943178"/>
    <w:rsid w:val="0097577B"/>
    <w:rsid w:val="00980B26"/>
    <w:rsid w:val="00990166"/>
    <w:rsid w:val="00995BAE"/>
    <w:rsid w:val="009A5375"/>
    <w:rsid w:val="009B432F"/>
    <w:rsid w:val="009C483E"/>
    <w:rsid w:val="009D4881"/>
    <w:rsid w:val="009E1E33"/>
    <w:rsid w:val="00A2490D"/>
    <w:rsid w:val="00A24DA1"/>
    <w:rsid w:val="00A34112"/>
    <w:rsid w:val="00A34F8C"/>
    <w:rsid w:val="00A35BE7"/>
    <w:rsid w:val="00A371DD"/>
    <w:rsid w:val="00A605F1"/>
    <w:rsid w:val="00A770CA"/>
    <w:rsid w:val="00A90703"/>
    <w:rsid w:val="00AA4B49"/>
    <w:rsid w:val="00AD3AFC"/>
    <w:rsid w:val="00AD4972"/>
    <w:rsid w:val="00AD6497"/>
    <w:rsid w:val="00AE224E"/>
    <w:rsid w:val="00B002E4"/>
    <w:rsid w:val="00B02FDF"/>
    <w:rsid w:val="00B31AD1"/>
    <w:rsid w:val="00B35088"/>
    <w:rsid w:val="00B47C00"/>
    <w:rsid w:val="00B63E32"/>
    <w:rsid w:val="00B73882"/>
    <w:rsid w:val="00B73BF7"/>
    <w:rsid w:val="00B7638A"/>
    <w:rsid w:val="00B76A28"/>
    <w:rsid w:val="00B81F16"/>
    <w:rsid w:val="00B90EBA"/>
    <w:rsid w:val="00BA2609"/>
    <w:rsid w:val="00BB023A"/>
    <w:rsid w:val="00BC0BD9"/>
    <w:rsid w:val="00BD4FCB"/>
    <w:rsid w:val="00BE6D66"/>
    <w:rsid w:val="00BF69C5"/>
    <w:rsid w:val="00C259F2"/>
    <w:rsid w:val="00C5026F"/>
    <w:rsid w:val="00C955E2"/>
    <w:rsid w:val="00CF3D87"/>
    <w:rsid w:val="00D13DA7"/>
    <w:rsid w:val="00D442BB"/>
    <w:rsid w:val="00D52D46"/>
    <w:rsid w:val="00D549D8"/>
    <w:rsid w:val="00D609D4"/>
    <w:rsid w:val="00D63481"/>
    <w:rsid w:val="00D701F4"/>
    <w:rsid w:val="00D72CF4"/>
    <w:rsid w:val="00D74502"/>
    <w:rsid w:val="00D9066F"/>
    <w:rsid w:val="00DB017F"/>
    <w:rsid w:val="00DD31B8"/>
    <w:rsid w:val="00DE64F0"/>
    <w:rsid w:val="00DF7A80"/>
    <w:rsid w:val="00E020B0"/>
    <w:rsid w:val="00E069DE"/>
    <w:rsid w:val="00E305D5"/>
    <w:rsid w:val="00E67191"/>
    <w:rsid w:val="00E73E81"/>
    <w:rsid w:val="00E86D76"/>
    <w:rsid w:val="00EA421D"/>
    <w:rsid w:val="00EF3011"/>
    <w:rsid w:val="00F019E9"/>
    <w:rsid w:val="00F01D09"/>
    <w:rsid w:val="00F04447"/>
    <w:rsid w:val="00F40DEC"/>
    <w:rsid w:val="00F62A52"/>
    <w:rsid w:val="00F64632"/>
    <w:rsid w:val="00F85462"/>
    <w:rsid w:val="00F920F3"/>
    <w:rsid w:val="00FA2154"/>
    <w:rsid w:val="00FA37E5"/>
    <w:rsid w:val="00FC3E11"/>
    <w:rsid w:val="00FF44C1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E5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7969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2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-wm-msonormal">
    <w:name w:val="-wm-msonormal"/>
    <w:basedOn w:val="Normln"/>
    <w:rsid w:val="00030E74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1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AD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AD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AD1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A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Props1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Plívová Viktorie Mgr. (VZP ČR Ústředí)</cp:lastModifiedBy>
  <cp:revision>2</cp:revision>
  <cp:lastPrinted>2024-02-28T15:37:00Z</cp:lastPrinted>
  <dcterms:created xsi:type="dcterms:W3CDTF">2024-07-01T07:41:00Z</dcterms:created>
  <dcterms:modified xsi:type="dcterms:W3CDTF">2024-07-01T07:41:00Z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