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FF44C1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FF44C1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FF44C1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719D987A" w14:textId="6B0CF8E6" w:rsidR="00B35088" w:rsidRDefault="00B35088" w:rsidP="00FF44C1">
      <w:pPr>
        <w:pStyle w:val="Normlnmini"/>
        <w:spacing w:line="276" w:lineRule="auto"/>
        <w:rPr>
          <w:sz w:val="22"/>
          <w:szCs w:val="22"/>
        </w:rPr>
      </w:pPr>
    </w:p>
    <w:p w14:paraId="6BB5724F" w14:textId="77777777" w:rsidR="00B7638A" w:rsidRPr="00B35088" w:rsidRDefault="00B7638A" w:rsidP="00FF44C1">
      <w:pPr>
        <w:pStyle w:val="Normlnmini"/>
        <w:spacing w:line="276" w:lineRule="auto"/>
        <w:rPr>
          <w:sz w:val="22"/>
          <w:szCs w:val="22"/>
        </w:rPr>
      </w:pPr>
    </w:p>
    <w:p w14:paraId="4A54F9AC" w14:textId="2028CCB0" w:rsidR="0036304B" w:rsidRPr="00B7638A" w:rsidRDefault="00995BAE" w:rsidP="00EF3011">
      <w:pPr>
        <w:spacing w:before="0" w:line="276" w:lineRule="auto"/>
        <w:jc w:val="right"/>
        <w:rPr>
          <w:color w:val="212121"/>
          <w:sz w:val="22"/>
          <w:szCs w:val="22"/>
        </w:rPr>
      </w:pPr>
      <w:r w:rsidRPr="00B7638A">
        <w:rPr>
          <w:color w:val="212121"/>
          <w:sz w:val="22"/>
          <w:szCs w:val="22"/>
        </w:rPr>
        <w:t xml:space="preserve">Praha </w:t>
      </w:r>
      <w:r w:rsidR="00EC2EEB">
        <w:rPr>
          <w:color w:val="212121"/>
          <w:sz w:val="22"/>
          <w:szCs w:val="22"/>
        </w:rPr>
        <w:t>29</w:t>
      </w:r>
      <w:r w:rsidR="00663695" w:rsidRPr="00B7638A">
        <w:rPr>
          <w:color w:val="212121"/>
          <w:sz w:val="22"/>
          <w:szCs w:val="22"/>
        </w:rPr>
        <w:t xml:space="preserve">. </w:t>
      </w:r>
      <w:r w:rsidR="003057A9">
        <w:rPr>
          <w:color w:val="212121"/>
          <w:sz w:val="22"/>
          <w:szCs w:val="22"/>
        </w:rPr>
        <w:t>5</w:t>
      </w:r>
      <w:r w:rsidRPr="00B7638A">
        <w:rPr>
          <w:color w:val="212121"/>
          <w:sz w:val="22"/>
          <w:szCs w:val="22"/>
        </w:rPr>
        <w:t>. 202</w:t>
      </w:r>
      <w:r w:rsidR="008D69F7" w:rsidRPr="00B7638A">
        <w:rPr>
          <w:color w:val="212121"/>
          <w:sz w:val="22"/>
          <w:szCs w:val="22"/>
        </w:rPr>
        <w:t>4</w:t>
      </w:r>
    </w:p>
    <w:p w14:paraId="6C08C7F3" w14:textId="77777777" w:rsidR="00C40CBA" w:rsidRDefault="00C40CBA" w:rsidP="00C40CBA">
      <w:pPr>
        <w:spacing w:before="0" w:line="240" w:lineRule="auto"/>
        <w:jc w:val="both"/>
        <w:rPr>
          <w:b/>
          <w:bCs/>
          <w:color w:val="FF0000"/>
          <w:sz w:val="30"/>
          <w:szCs w:val="30"/>
        </w:rPr>
      </w:pPr>
      <w:bookmarkStart w:id="0" w:name="_Hlk164358237"/>
    </w:p>
    <w:p w14:paraId="1ECCF16C" w14:textId="77777777" w:rsidR="00EC2EEB" w:rsidRPr="0006381F" w:rsidRDefault="00EC2EEB" w:rsidP="00EC2EEB">
      <w:pPr>
        <w:spacing w:before="0"/>
        <w:rPr>
          <w:b/>
          <w:bCs/>
          <w:color w:val="FF0000"/>
          <w:sz w:val="30"/>
          <w:szCs w:val="30"/>
        </w:rPr>
      </w:pPr>
      <w:bookmarkStart w:id="1" w:name="_Hlk167862417"/>
      <w:r w:rsidRPr="0006381F">
        <w:rPr>
          <w:b/>
          <w:bCs/>
          <w:color w:val="FF0000"/>
          <w:sz w:val="30"/>
          <w:szCs w:val="30"/>
        </w:rPr>
        <w:t>Biologickou léčbu roztroušené sklerózy vloni podstoupilo dvakrát více klientů VZP než před deseti lety</w:t>
      </w:r>
    </w:p>
    <w:p w14:paraId="37568238" w14:textId="77777777" w:rsidR="00EC2EEB" w:rsidRDefault="00EC2EEB" w:rsidP="00EC2EEB">
      <w:pPr>
        <w:spacing w:before="0"/>
        <w:rPr>
          <w:b/>
        </w:rPr>
      </w:pPr>
    </w:p>
    <w:p w14:paraId="0CCE6AD9" w14:textId="50B2AB41" w:rsidR="00EC2EEB" w:rsidRDefault="00EC2EEB" w:rsidP="00EC2EEB">
      <w:pPr>
        <w:spacing w:before="0"/>
        <w:jc w:val="both"/>
        <w:rPr>
          <w:b/>
        </w:rPr>
      </w:pPr>
      <w:r>
        <w:rPr>
          <w:b/>
        </w:rPr>
        <w:t xml:space="preserve">Více než </w:t>
      </w:r>
      <w:r w:rsidRPr="00AA4225">
        <w:rPr>
          <w:b/>
        </w:rPr>
        <w:t xml:space="preserve">2,5 miliardy korun vydala v loňském roce Všeobecná zdravotní pojišťovna </w:t>
      </w:r>
      <w:r>
        <w:rPr>
          <w:b/>
        </w:rPr>
        <w:t xml:space="preserve">ČR </w:t>
      </w:r>
      <w:r w:rsidRPr="00AA4225">
        <w:rPr>
          <w:b/>
        </w:rPr>
        <w:t xml:space="preserve">na léčbu svých klientů s roztroušenou sklerózou. </w:t>
      </w:r>
      <w:r>
        <w:rPr>
          <w:b/>
        </w:rPr>
        <w:t>Z celkových nákladů bylo 84 % (</w:t>
      </w:r>
      <w:r w:rsidRPr="00AA4225">
        <w:rPr>
          <w:b/>
        </w:rPr>
        <w:t>2,1</w:t>
      </w:r>
      <w:r>
        <w:rPr>
          <w:b/>
        </w:rPr>
        <w:t xml:space="preserve"> mld. Kč) vynaloženo na </w:t>
      </w:r>
      <w:r w:rsidRPr="00AA4225">
        <w:rPr>
          <w:b/>
        </w:rPr>
        <w:t>biologick</w:t>
      </w:r>
      <w:r>
        <w:rPr>
          <w:b/>
        </w:rPr>
        <w:t>ou</w:t>
      </w:r>
      <w:r w:rsidRPr="00AA4225">
        <w:rPr>
          <w:b/>
        </w:rPr>
        <w:t xml:space="preserve"> léčb</w:t>
      </w:r>
      <w:r>
        <w:rPr>
          <w:b/>
        </w:rPr>
        <w:t>u</w:t>
      </w:r>
      <w:r w:rsidRPr="00AA4225">
        <w:rPr>
          <w:b/>
        </w:rPr>
        <w:t xml:space="preserve"> nejtěžších případů. Počet pacientů, kteří jsou těmito moderními přípravky léčeni, se za uplynulou dekádu </w:t>
      </w:r>
      <w:r>
        <w:rPr>
          <w:b/>
        </w:rPr>
        <w:t xml:space="preserve">více než zdvojnásobil. Průměrné roční náklady na léčbu jednoho pacienta biologickou léčbou představují zhruba 220 tisíc korun. </w:t>
      </w:r>
      <w:r w:rsidRPr="00AA4225">
        <w:rPr>
          <w:b/>
        </w:rPr>
        <w:t xml:space="preserve">Právě díky </w:t>
      </w:r>
      <w:r>
        <w:rPr>
          <w:b/>
        </w:rPr>
        <w:t xml:space="preserve">těmto moderním léčebným přípravkům mají pacienti s roztroušenou sklerózou naději žít plnohodnotný a kvalitní život. </w:t>
      </w:r>
      <w:r w:rsidR="001B2EEA">
        <w:rPr>
          <w:b/>
        </w:rPr>
        <w:t xml:space="preserve">Tiskovou zprávu vydává VZP k příležitosti Světového dne roztroušené sklerózy, který připadá na </w:t>
      </w:r>
      <w:r w:rsidR="00902242">
        <w:rPr>
          <w:b/>
        </w:rPr>
        <w:t>30</w:t>
      </w:r>
      <w:bookmarkStart w:id="2" w:name="_GoBack"/>
      <w:bookmarkEnd w:id="2"/>
      <w:r w:rsidR="001B2EEA">
        <w:rPr>
          <w:b/>
        </w:rPr>
        <w:t xml:space="preserve">. května. </w:t>
      </w:r>
    </w:p>
    <w:p w14:paraId="1A0D5984" w14:textId="77777777" w:rsidR="00EC2EEB" w:rsidRDefault="00EC2EEB" w:rsidP="00EC2EEB">
      <w:pPr>
        <w:spacing w:before="0"/>
        <w:jc w:val="both"/>
        <w:rPr>
          <w:color w:val="212121"/>
          <w:shd w:val="clear" w:color="auto" w:fill="FFFFFF"/>
        </w:rPr>
      </w:pPr>
    </w:p>
    <w:p w14:paraId="65E5CBC4" w14:textId="7ABC04B4" w:rsidR="00EC2EEB" w:rsidRDefault="00EC2EEB" w:rsidP="00EC2EEB">
      <w:pPr>
        <w:spacing w:before="0"/>
        <w:jc w:val="both"/>
        <w:rPr>
          <w:color w:val="212121"/>
          <w:shd w:val="clear" w:color="auto" w:fill="FFFFFF"/>
        </w:rPr>
      </w:pPr>
      <w:r w:rsidRPr="00AA4225">
        <w:rPr>
          <w:color w:val="212121"/>
          <w:shd w:val="clear" w:color="auto" w:fill="FFFFFF"/>
        </w:rPr>
        <w:t xml:space="preserve">V loňském roce evidovala VZP celkem 17 418 klientů, u nichž lékaři vykázali diagnózu roztroušená skleróza. Z toho 9 711 pacientů bylo vzhledem k jejich stavu zařazeno do péče specializovaných center. Celkové loňské náklady na uvedenou diagnózu činily 2,54 miliardy korun, z čehož na </w:t>
      </w:r>
      <w:proofErr w:type="spellStart"/>
      <w:r w:rsidRPr="00AA4225">
        <w:rPr>
          <w:color w:val="212121"/>
          <w:shd w:val="clear" w:color="auto" w:fill="FFFFFF"/>
        </w:rPr>
        <w:t>centrovou</w:t>
      </w:r>
      <w:proofErr w:type="spellEnd"/>
      <w:r w:rsidRPr="00AA4225">
        <w:rPr>
          <w:color w:val="212121"/>
          <w:shd w:val="clear" w:color="auto" w:fill="FFFFFF"/>
        </w:rPr>
        <w:t xml:space="preserve"> péči šlo 2,12 miliardy.</w:t>
      </w:r>
    </w:p>
    <w:p w14:paraId="778D1719" w14:textId="77777777" w:rsidR="00EC2EEB" w:rsidRPr="00EC2EEB" w:rsidRDefault="00EC2EEB" w:rsidP="00EC2EEB">
      <w:pPr>
        <w:spacing w:before="0"/>
        <w:rPr>
          <w:color w:val="212121"/>
          <w:shd w:val="clear" w:color="auto" w:fill="FFFFFF"/>
        </w:rPr>
      </w:pPr>
    </w:p>
    <w:p w14:paraId="3BC6FC3D" w14:textId="77777777" w:rsidR="00EC2EEB" w:rsidRPr="009D0B43" w:rsidRDefault="00EC2EEB" w:rsidP="00EC2EEB">
      <w:pPr>
        <w:spacing w:before="0"/>
        <w:rPr>
          <w:b/>
        </w:rPr>
      </w:pPr>
      <w:r w:rsidRPr="009D0B43">
        <w:rPr>
          <w:b/>
        </w:rPr>
        <w:t>Léčba roztroušené sklerózy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835"/>
      </w:tblGrid>
      <w:tr w:rsidR="00EC2EEB" w:rsidRPr="00AA4225" w14:paraId="7DA05957" w14:textId="77777777" w:rsidTr="00AE2B06">
        <w:tc>
          <w:tcPr>
            <w:tcW w:w="1696" w:type="dxa"/>
          </w:tcPr>
          <w:p w14:paraId="5BC7886D" w14:textId="77777777" w:rsidR="00EC2EEB" w:rsidRPr="00AA4225" w:rsidRDefault="00EC2EEB" w:rsidP="00EC2EEB">
            <w:pPr>
              <w:spacing w:before="0"/>
            </w:pPr>
          </w:p>
        </w:tc>
        <w:tc>
          <w:tcPr>
            <w:tcW w:w="1985" w:type="dxa"/>
          </w:tcPr>
          <w:p w14:paraId="10C99664" w14:textId="77777777" w:rsidR="00EC2EEB" w:rsidRPr="00AA4225" w:rsidRDefault="00EC2EEB" w:rsidP="00EC2EEB">
            <w:pPr>
              <w:spacing w:before="0"/>
              <w:rPr>
                <w:b/>
                <w:bCs/>
                <w:color w:val="000000"/>
              </w:rPr>
            </w:pPr>
            <w:r w:rsidRPr="00AA4225">
              <w:rPr>
                <w:b/>
                <w:bCs/>
                <w:color w:val="000000"/>
              </w:rPr>
              <w:t>Počet pacientů</w:t>
            </w:r>
          </w:p>
        </w:tc>
        <w:tc>
          <w:tcPr>
            <w:tcW w:w="2835" w:type="dxa"/>
          </w:tcPr>
          <w:p w14:paraId="209B372C" w14:textId="77777777" w:rsidR="00EC2EEB" w:rsidRPr="00AA4225" w:rsidRDefault="00EC2EEB" w:rsidP="00EC2EEB">
            <w:pPr>
              <w:spacing w:before="0"/>
              <w:rPr>
                <w:b/>
                <w:bCs/>
                <w:color w:val="000000"/>
              </w:rPr>
            </w:pPr>
            <w:r w:rsidRPr="00AA4225">
              <w:rPr>
                <w:b/>
                <w:bCs/>
                <w:color w:val="000000"/>
              </w:rPr>
              <w:t>Celkové náklady v tis. Kč</w:t>
            </w:r>
          </w:p>
        </w:tc>
      </w:tr>
      <w:tr w:rsidR="00EC2EEB" w:rsidRPr="00AA4225" w14:paraId="292823CE" w14:textId="77777777" w:rsidTr="00AE2B06">
        <w:tc>
          <w:tcPr>
            <w:tcW w:w="1696" w:type="dxa"/>
            <w:vAlign w:val="bottom"/>
          </w:tcPr>
          <w:p w14:paraId="0B904DF4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 w:rsidRPr="00AA4225">
              <w:rPr>
                <w:color w:val="000000"/>
              </w:rPr>
              <w:t>2013</w:t>
            </w:r>
          </w:p>
        </w:tc>
        <w:tc>
          <w:tcPr>
            <w:tcW w:w="1985" w:type="dxa"/>
            <w:vAlign w:val="bottom"/>
          </w:tcPr>
          <w:p w14:paraId="3A0B3A1F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>
              <w:rPr>
                <w:color w:val="000000"/>
              </w:rPr>
              <w:t>14 677</w:t>
            </w:r>
          </w:p>
        </w:tc>
        <w:tc>
          <w:tcPr>
            <w:tcW w:w="2835" w:type="dxa"/>
            <w:vAlign w:val="bottom"/>
          </w:tcPr>
          <w:p w14:paraId="5BC17EBE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>
              <w:rPr>
                <w:color w:val="000000"/>
              </w:rPr>
              <w:t>1 427 115</w:t>
            </w:r>
          </w:p>
        </w:tc>
      </w:tr>
      <w:tr w:rsidR="00EC2EEB" w:rsidRPr="00AA4225" w14:paraId="65EC59FF" w14:textId="77777777" w:rsidTr="00AE2B06">
        <w:tc>
          <w:tcPr>
            <w:tcW w:w="1696" w:type="dxa"/>
            <w:vAlign w:val="bottom"/>
          </w:tcPr>
          <w:p w14:paraId="03F25514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 w:rsidRPr="00AA4225">
              <w:rPr>
                <w:color w:val="000000"/>
              </w:rPr>
              <w:t>2023</w:t>
            </w:r>
          </w:p>
        </w:tc>
        <w:tc>
          <w:tcPr>
            <w:tcW w:w="1985" w:type="dxa"/>
            <w:vAlign w:val="bottom"/>
          </w:tcPr>
          <w:p w14:paraId="02B69F6F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>
              <w:rPr>
                <w:color w:val="000000"/>
              </w:rPr>
              <w:t>17 418</w:t>
            </w:r>
          </w:p>
        </w:tc>
        <w:tc>
          <w:tcPr>
            <w:tcW w:w="2835" w:type="dxa"/>
            <w:vAlign w:val="bottom"/>
          </w:tcPr>
          <w:p w14:paraId="330F1D86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>
              <w:rPr>
                <w:color w:val="000000"/>
              </w:rPr>
              <w:t>2 542 626</w:t>
            </w:r>
          </w:p>
        </w:tc>
      </w:tr>
    </w:tbl>
    <w:p w14:paraId="374584F2" w14:textId="77777777" w:rsidR="00EC2EEB" w:rsidRDefault="00EC2EEB" w:rsidP="00EC2EEB">
      <w:pPr>
        <w:spacing w:before="0"/>
        <w:jc w:val="both"/>
      </w:pPr>
    </w:p>
    <w:p w14:paraId="010A14AE" w14:textId="77777777" w:rsidR="00EC2EEB" w:rsidRDefault="00EC2EEB" w:rsidP="00EC2EEB">
      <w:pPr>
        <w:spacing w:before="0"/>
        <w:jc w:val="both"/>
      </w:pPr>
      <w:r>
        <w:t xml:space="preserve">V České republice funguje 15 center </w:t>
      </w:r>
      <w:r w:rsidRPr="000D5E3F">
        <w:t xml:space="preserve">vysoce specializované péče pro </w:t>
      </w:r>
      <w:r>
        <w:t xml:space="preserve">pacienty trpící </w:t>
      </w:r>
      <w:r w:rsidRPr="000D5E3F">
        <w:t>roztroušenou sklerózou</w:t>
      </w:r>
      <w:r>
        <w:t xml:space="preserve">. V centrech je </w:t>
      </w:r>
      <w:r w:rsidRPr="000D5E3F">
        <w:t xml:space="preserve">zajištěna </w:t>
      </w:r>
      <w:r>
        <w:t xml:space="preserve">nejlepší možná kvalita a efektivita </w:t>
      </w:r>
      <w:r w:rsidRPr="000D5E3F">
        <w:t>zdravotní péče o pacienty trpící tímto onemocněním</w:t>
      </w:r>
      <w:r>
        <w:t xml:space="preserve">. </w:t>
      </w:r>
    </w:p>
    <w:p w14:paraId="7EFCD663" w14:textId="77777777" w:rsidR="00EC2EEB" w:rsidRDefault="00EC2EEB" w:rsidP="00EC2EEB">
      <w:pPr>
        <w:spacing w:before="0"/>
        <w:rPr>
          <w:b/>
        </w:rPr>
      </w:pPr>
    </w:p>
    <w:p w14:paraId="7AC805BD" w14:textId="0D2FD4A1" w:rsidR="00EC2EEB" w:rsidRPr="00760AA7" w:rsidRDefault="00EC2EEB" w:rsidP="00EC2EEB">
      <w:pPr>
        <w:spacing w:before="0"/>
        <w:rPr>
          <w:b/>
        </w:rPr>
      </w:pPr>
      <w:r w:rsidRPr="00760AA7">
        <w:rPr>
          <w:b/>
        </w:rPr>
        <w:t>Biologická léčba roztroušené sklerózy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7"/>
        <w:gridCol w:w="1856"/>
        <w:gridCol w:w="2893"/>
      </w:tblGrid>
      <w:tr w:rsidR="00EC2EEB" w:rsidRPr="00AA4225" w14:paraId="28D60532" w14:textId="77777777" w:rsidTr="00AE2B06">
        <w:tc>
          <w:tcPr>
            <w:tcW w:w="1767" w:type="dxa"/>
          </w:tcPr>
          <w:p w14:paraId="66911C25" w14:textId="77777777" w:rsidR="00EC2EEB" w:rsidRPr="00AA4225" w:rsidRDefault="00EC2EEB" w:rsidP="00EC2EEB">
            <w:pPr>
              <w:spacing w:before="0"/>
            </w:pPr>
          </w:p>
        </w:tc>
        <w:tc>
          <w:tcPr>
            <w:tcW w:w="1856" w:type="dxa"/>
          </w:tcPr>
          <w:p w14:paraId="67F19FD0" w14:textId="77777777" w:rsidR="00EC2EEB" w:rsidRPr="00AA4225" w:rsidRDefault="00EC2EEB" w:rsidP="00EC2EEB">
            <w:pPr>
              <w:spacing w:before="0"/>
              <w:rPr>
                <w:b/>
                <w:bCs/>
                <w:color w:val="000000"/>
              </w:rPr>
            </w:pPr>
            <w:r w:rsidRPr="00AA4225">
              <w:rPr>
                <w:b/>
                <w:bCs/>
                <w:color w:val="000000"/>
              </w:rPr>
              <w:t>Počet pacientů</w:t>
            </w:r>
          </w:p>
        </w:tc>
        <w:tc>
          <w:tcPr>
            <w:tcW w:w="2893" w:type="dxa"/>
          </w:tcPr>
          <w:p w14:paraId="3B8CEFBD" w14:textId="77777777" w:rsidR="00EC2EEB" w:rsidRPr="00AA4225" w:rsidRDefault="00EC2EEB" w:rsidP="00EC2EEB">
            <w:pPr>
              <w:spacing w:before="0"/>
              <w:rPr>
                <w:b/>
                <w:bCs/>
                <w:color w:val="000000"/>
              </w:rPr>
            </w:pPr>
            <w:r w:rsidRPr="00AA4225">
              <w:rPr>
                <w:b/>
                <w:bCs/>
                <w:color w:val="000000"/>
              </w:rPr>
              <w:t>Celkové náklady v tis. Kč</w:t>
            </w:r>
          </w:p>
        </w:tc>
      </w:tr>
      <w:tr w:rsidR="00EC2EEB" w:rsidRPr="00AA4225" w14:paraId="3896563E" w14:textId="77777777" w:rsidTr="00AE2B06">
        <w:tc>
          <w:tcPr>
            <w:tcW w:w="1767" w:type="dxa"/>
            <w:vAlign w:val="bottom"/>
          </w:tcPr>
          <w:p w14:paraId="35921958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 w:rsidRPr="00AA4225">
              <w:rPr>
                <w:color w:val="000000"/>
              </w:rPr>
              <w:t>2013</w:t>
            </w:r>
          </w:p>
        </w:tc>
        <w:tc>
          <w:tcPr>
            <w:tcW w:w="1856" w:type="dxa"/>
            <w:vAlign w:val="bottom"/>
          </w:tcPr>
          <w:p w14:paraId="40E31811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 w:rsidRPr="00AA4225">
              <w:rPr>
                <w:color w:val="000000"/>
              </w:rPr>
              <w:t>4 740</w:t>
            </w:r>
          </w:p>
        </w:tc>
        <w:tc>
          <w:tcPr>
            <w:tcW w:w="2893" w:type="dxa"/>
            <w:vAlign w:val="bottom"/>
          </w:tcPr>
          <w:p w14:paraId="631F0882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 w:rsidRPr="00AA4225">
              <w:rPr>
                <w:color w:val="000000"/>
              </w:rPr>
              <w:t>1 145 156</w:t>
            </w:r>
          </w:p>
        </w:tc>
      </w:tr>
      <w:tr w:rsidR="00EC2EEB" w:rsidRPr="00AA4225" w14:paraId="3B4B8C6E" w14:textId="77777777" w:rsidTr="00AE2B06">
        <w:tc>
          <w:tcPr>
            <w:tcW w:w="1767" w:type="dxa"/>
            <w:vAlign w:val="bottom"/>
          </w:tcPr>
          <w:p w14:paraId="7A775B64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 w:rsidRPr="00AA4225">
              <w:rPr>
                <w:color w:val="000000"/>
              </w:rPr>
              <w:t>2023</w:t>
            </w:r>
          </w:p>
        </w:tc>
        <w:tc>
          <w:tcPr>
            <w:tcW w:w="1856" w:type="dxa"/>
            <w:vAlign w:val="bottom"/>
          </w:tcPr>
          <w:p w14:paraId="4FFA077C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 w:rsidRPr="00AA4225">
              <w:rPr>
                <w:color w:val="000000"/>
              </w:rPr>
              <w:t>9 711</w:t>
            </w:r>
          </w:p>
        </w:tc>
        <w:tc>
          <w:tcPr>
            <w:tcW w:w="2893" w:type="dxa"/>
            <w:vAlign w:val="bottom"/>
          </w:tcPr>
          <w:p w14:paraId="45FDF923" w14:textId="77777777" w:rsidR="00EC2EEB" w:rsidRPr="00AA4225" w:rsidRDefault="00EC2EEB" w:rsidP="00EC2EEB">
            <w:pPr>
              <w:spacing w:before="0"/>
              <w:jc w:val="right"/>
              <w:rPr>
                <w:color w:val="000000"/>
              </w:rPr>
            </w:pPr>
            <w:r w:rsidRPr="00AA4225">
              <w:rPr>
                <w:color w:val="000000"/>
              </w:rPr>
              <w:t>2 126 747</w:t>
            </w:r>
          </w:p>
        </w:tc>
      </w:tr>
    </w:tbl>
    <w:p w14:paraId="5C573432" w14:textId="77777777" w:rsidR="00EC2EEB" w:rsidRDefault="00EC2EEB" w:rsidP="00EC2EEB">
      <w:pPr>
        <w:spacing w:before="0"/>
      </w:pPr>
    </w:p>
    <w:p w14:paraId="187A5302" w14:textId="77777777" w:rsidR="00EC2EEB" w:rsidRDefault="00EC2EEB" w:rsidP="00EC2EEB">
      <w:pPr>
        <w:spacing w:before="0"/>
        <w:jc w:val="both"/>
      </w:pPr>
      <w:r w:rsidRPr="00AA4225">
        <w:t xml:space="preserve">Roztroušená skleróza je chronické autoimunitní onemocnění, které </w:t>
      </w:r>
      <w:r>
        <w:t>poškozuje</w:t>
      </w:r>
      <w:r w:rsidRPr="00AA4225">
        <w:t xml:space="preserve"> centrální nervový systém (mozek a míchu).</w:t>
      </w:r>
      <w:r>
        <w:t xml:space="preserve"> Její příčina není známá.</w:t>
      </w:r>
      <w:r w:rsidRPr="00AA4225">
        <w:t xml:space="preserve"> </w:t>
      </w:r>
      <w:r w:rsidRPr="00113665">
        <w:t>Propuká nejčastěji mezi 20. a 40. rokem života.</w:t>
      </w:r>
      <w:r>
        <w:t xml:space="preserve"> </w:t>
      </w:r>
      <w:r w:rsidRPr="0020293A">
        <w:t>U některých pacientů se projevuje poměrně mírnými relapsy s dlouhými mezidobími bez jakýchkoli příznaků, u některých postižených se ale od prvního záchvatu projevuje trvalé zhoršování, které vede již ve středním věku k trvalému upoutání na lůžko a k inkontinenci.</w:t>
      </w:r>
      <w:r>
        <w:t xml:space="preserve"> </w:t>
      </w:r>
      <w:r w:rsidRPr="00113665">
        <w:t>I když je roztroušená skleróza nemoc zatím nevyléčitelná, lze ji minimálně v počátečních stádiích léky dobře kontrolovat.</w:t>
      </w:r>
    </w:p>
    <w:p w14:paraId="27CF3C55" w14:textId="77777777" w:rsidR="00EC2EEB" w:rsidRPr="00AA4225" w:rsidRDefault="00EC2EEB" w:rsidP="00EC2EEB">
      <w:pPr>
        <w:spacing w:before="0"/>
        <w:jc w:val="both"/>
      </w:pPr>
      <w:r>
        <w:lastRenderedPageBreak/>
        <w:t xml:space="preserve">Pro biologickou léčbu roztroušené sklerózy platí, že musí být zahájena co nejdříve od stanovení diagnózy. Díky tomu je větší šance na pozastavení rozvoj nemoci a má pacient naději na téměř plnohodnotný život. </w:t>
      </w:r>
    </w:p>
    <w:bookmarkEnd w:id="1"/>
    <w:p w14:paraId="544A6317" w14:textId="77777777" w:rsidR="00EC2EEB" w:rsidRPr="00AA4225" w:rsidRDefault="00EC2EEB" w:rsidP="00EC2EEB">
      <w:pPr>
        <w:spacing w:before="0"/>
      </w:pPr>
    </w:p>
    <w:p w14:paraId="418CDA30" w14:textId="77777777" w:rsidR="00C40CBA" w:rsidRPr="00E94915" w:rsidRDefault="00C40CBA" w:rsidP="00C40CBA">
      <w:pPr>
        <w:autoSpaceDE w:val="0"/>
        <w:autoSpaceDN w:val="0"/>
        <w:adjustRightInd w:val="0"/>
        <w:spacing w:before="0" w:line="259" w:lineRule="auto"/>
        <w:jc w:val="both"/>
      </w:pPr>
    </w:p>
    <w:p w14:paraId="539B46DE" w14:textId="77777777" w:rsidR="00C40CBA" w:rsidRPr="00EC2EEB" w:rsidRDefault="00C40CBA" w:rsidP="00C40CBA">
      <w:pPr>
        <w:spacing w:before="0" w:line="240" w:lineRule="auto"/>
        <w:rPr>
          <w:b/>
          <w:bCs/>
          <w:szCs w:val="22"/>
        </w:rPr>
      </w:pPr>
      <w:r w:rsidRPr="00EC2EEB">
        <w:rPr>
          <w:b/>
          <w:bCs/>
          <w:szCs w:val="22"/>
        </w:rPr>
        <w:t>Viktorie Plívová</w:t>
      </w:r>
    </w:p>
    <w:p w14:paraId="06FA8DEA" w14:textId="77777777" w:rsidR="00C40CBA" w:rsidRPr="00EC2EEB" w:rsidRDefault="00C40CBA" w:rsidP="00C40CBA">
      <w:pPr>
        <w:spacing w:before="0" w:line="240" w:lineRule="auto"/>
        <w:rPr>
          <w:szCs w:val="22"/>
        </w:rPr>
      </w:pPr>
      <w:r w:rsidRPr="00EC2EEB">
        <w:rPr>
          <w:szCs w:val="22"/>
        </w:rPr>
        <w:t>Tisková mluvčí</w:t>
      </w:r>
    </w:p>
    <w:p w14:paraId="552306A0" w14:textId="77777777" w:rsidR="00C40CBA" w:rsidRPr="00EC2EEB" w:rsidRDefault="00C40CBA" w:rsidP="00C40CBA">
      <w:pPr>
        <w:spacing w:before="0" w:line="240" w:lineRule="auto"/>
        <w:rPr>
          <w:szCs w:val="22"/>
        </w:rPr>
      </w:pPr>
    </w:p>
    <w:bookmarkEnd w:id="0"/>
    <w:p w14:paraId="29F91A9C" w14:textId="10920316" w:rsidR="00995BAE" w:rsidRPr="00992B0A" w:rsidRDefault="00995BAE" w:rsidP="00E1453E">
      <w:pPr>
        <w:spacing w:before="0" w:line="259" w:lineRule="auto"/>
        <w:rPr>
          <w:szCs w:val="22"/>
        </w:rPr>
      </w:pPr>
    </w:p>
    <w:sectPr w:rsidR="00995BAE" w:rsidRPr="00992B0A" w:rsidSect="00B7638A">
      <w:footerReference w:type="default" r:id="rId11"/>
      <w:pgSz w:w="11906" w:h="16838"/>
      <w:pgMar w:top="1417" w:right="1417" w:bottom="1985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CD34E" w14:textId="77777777" w:rsidR="007C4308" w:rsidRDefault="007C4308" w:rsidP="00844E5F">
      <w:pPr>
        <w:spacing w:before="0" w:line="240" w:lineRule="auto"/>
      </w:pPr>
      <w:r>
        <w:separator/>
      </w:r>
    </w:p>
  </w:endnote>
  <w:endnote w:type="continuationSeparator" w:id="0">
    <w:p w14:paraId="2A2BDA6F" w14:textId="77777777" w:rsidR="007C4308" w:rsidRDefault="007C4308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BB336" w14:textId="77777777" w:rsidR="007C4308" w:rsidRDefault="007C4308" w:rsidP="00844E5F">
      <w:pPr>
        <w:spacing w:before="0" w:line="240" w:lineRule="auto"/>
      </w:pPr>
      <w:r>
        <w:separator/>
      </w:r>
    </w:p>
  </w:footnote>
  <w:footnote w:type="continuationSeparator" w:id="0">
    <w:p w14:paraId="1C6065D2" w14:textId="77777777" w:rsidR="007C4308" w:rsidRDefault="007C4308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00714"/>
    <w:multiLevelType w:val="hybridMultilevel"/>
    <w:tmpl w:val="70A00C4C"/>
    <w:lvl w:ilvl="0" w:tplc="2902B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56A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C48F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6D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0B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CA2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6E6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613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AC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A0CEA"/>
    <w:multiLevelType w:val="hybridMultilevel"/>
    <w:tmpl w:val="2012D722"/>
    <w:lvl w:ilvl="0" w:tplc="DBBA0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A65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C80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9EB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A9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8D8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41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62E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C9F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003FD8"/>
    <w:multiLevelType w:val="multilevel"/>
    <w:tmpl w:val="19F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A211E"/>
    <w:multiLevelType w:val="hybridMultilevel"/>
    <w:tmpl w:val="F7B20C04"/>
    <w:lvl w:ilvl="0" w:tplc="36CED4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C6183"/>
    <w:multiLevelType w:val="hybridMultilevel"/>
    <w:tmpl w:val="4E5EE3CC"/>
    <w:lvl w:ilvl="0" w:tplc="9FC862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4CE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4E4B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43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67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69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CAB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4E1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5C91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DFC5D95"/>
    <w:multiLevelType w:val="hybridMultilevel"/>
    <w:tmpl w:val="F1061D80"/>
    <w:lvl w:ilvl="0" w:tplc="4092A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A85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3428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F4B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6E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EB5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560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EC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A247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354AE1"/>
    <w:multiLevelType w:val="hybridMultilevel"/>
    <w:tmpl w:val="B412BF4E"/>
    <w:lvl w:ilvl="0" w:tplc="A30A4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23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988D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30A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4CAD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2EEA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56F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CCF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C83A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DB5CEB"/>
    <w:multiLevelType w:val="hybridMultilevel"/>
    <w:tmpl w:val="EB5E30EC"/>
    <w:lvl w:ilvl="0" w:tplc="2FF40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62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A7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B47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636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E81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6E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A7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2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366668A"/>
    <w:multiLevelType w:val="hybridMultilevel"/>
    <w:tmpl w:val="EFCE552A"/>
    <w:lvl w:ilvl="0" w:tplc="ACB06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5098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3C9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BC2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62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4AB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64E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47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5A8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B4E2892"/>
    <w:multiLevelType w:val="hybridMultilevel"/>
    <w:tmpl w:val="4620B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6100A"/>
    <w:multiLevelType w:val="hybridMultilevel"/>
    <w:tmpl w:val="E97840E8"/>
    <w:lvl w:ilvl="0" w:tplc="99527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5AAF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A27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FA8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010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B49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A09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0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66C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14A4C"/>
    <w:rsid w:val="00015469"/>
    <w:rsid w:val="000249DD"/>
    <w:rsid w:val="00030E74"/>
    <w:rsid w:val="00082930"/>
    <w:rsid w:val="00082A67"/>
    <w:rsid w:val="00084206"/>
    <w:rsid w:val="000C08E4"/>
    <w:rsid w:val="000C22DD"/>
    <w:rsid w:val="000F0D97"/>
    <w:rsid w:val="000F600B"/>
    <w:rsid w:val="00111EF0"/>
    <w:rsid w:val="00117FF2"/>
    <w:rsid w:val="0016318C"/>
    <w:rsid w:val="0017097A"/>
    <w:rsid w:val="00173A2F"/>
    <w:rsid w:val="00190EE7"/>
    <w:rsid w:val="001B2EEA"/>
    <w:rsid w:val="001C5526"/>
    <w:rsid w:val="00203CC1"/>
    <w:rsid w:val="00207969"/>
    <w:rsid w:val="00250A59"/>
    <w:rsid w:val="002539D7"/>
    <w:rsid w:val="00296AFA"/>
    <w:rsid w:val="002E32D0"/>
    <w:rsid w:val="0030373C"/>
    <w:rsid w:val="003057A9"/>
    <w:rsid w:val="00320402"/>
    <w:rsid w:val="00322A4A"/>
    <w:rsid w:val="003265D8"/>
    <w:rsid w:val="0036304B"/>
    <w:rsid w:val="00372F77"/>
    <w:rsid w:val="00383732"/>
    <w:rsid w:val="00391204"/>
    <w:rsid w:val="003D5F56"/>
    <w:rsid w:val="003F2E5F"/>
    <w:rsid w:val="003F6E42"/>
    <w:rsid w:val="004359B2"/>
    <w:rsid w:val="00440D2A"/>
    <w:rsid w:val="00454E77"/>
    <w:rsid w:val="0045620E"/>
    <w:rsid w:val="004675A2"/>
    <w:rsid w:val="00487D7E"/>
    <w:rsid w:val="004A77BF"/>
    <w:rsid w:val="004A77F8"/>
    <w:rsid w:val="004B1C42"/>
    <w:rsid w:val="004E5DFB"/>
    <w:rsid w:val="00526A50"/>
    <w:rsid w:val="005443DA"/>
    <w:rsid w:val="00550B65"/>
    <w:rsid w:val="0055776A"/>
    <w:rsid w:val="00572C26"/>
    <w:rsid w:val="005735D4"/>
    <w:rsid w:val="006212C7"/>
    <w:rsid w:val="0062679D"/>
    <w:rsid w:val="006421B3"/>
    <w:rsid w:val="006445EF"/>
    <w:rsid w:val="006535BC"/>
    <w:rsid w:val="00663695"/>
    <w:rsid w:val="00681116"/>
    <w:rsid w:val="00691317"/>
    <w:rsid w:val="00692259"/>
    <w:rsid w:val="006C05CA"/>
    <w:rsid w:val="006E2FF8"/>
    <w:rsid w:val="006E6333"/>
    <w:rsid w:val="006F103F"/>
    <w:rsid w:val="00703381"/>
    <w:rsid w:val="007038D7"/>
    <w:rsid w:val="00705942"/>
    <w:rsid w:val="00712BC5"/>
    <w:rsid w:val="00721A96"/>
    <w:rsid w:val="00767D50"/>
    <w:rsid w:val="00773145"/>
    <w:rsid w:val="007C4308"/>
    <w:rsid w:val="007C63D9"/>
    <w:rsid w:val="008332DA"/>
    <w:rsid w:val="00844E5F"/>
    <w:rsid w:val="00845CD7"/>
    <w:rsid w:val="008823D4"/>
    <w:rsid w:val="00892F70"/>
    <w:rsid w:val="008941D2"/>
    <w:rsid w:val="00897326"/>
    <w:rsid w:val="008C7837"/>
    <w:rsid w:val="008D26F1"/>
    <w:rsid w:val="008D3E0A"/>
    <w:rsid w:val="008D69F7"/>
    <w:rsid w:val="00902242"/>
    <w:rsid w:val="00917156"/>
    <w:rsid w:val="0097577B"/>
    <w:rsid w:val="00980B26"/>
    <w:rsid w:val="00990166"/>
    <w:rsid w:val="00992B0A"/>
    <w:rsid w:val="00995BAE"/>
    <w:rsid w:val="009A5375"/>
    <w:rsid w:val="009B432F"/>
    <w:rsid w:val="009C483E"/>
    <w:rsid w:val="009D4881"/>
    <w:rsid w:val="00A2490D"/>
    <w:rsid w:val="00A24DA1"/>
    <w:rsid w:val="00A34112"/>
    <w:rsid w:val="00A34F8C"/>
    <w:rsid w:val="00A35BE7"/>
    <w:rsid w:val="00A371DD"/>
    <w:rsid w:val="00A770CA"/>
    <w:rsid w:val="00A90703"/>
    <w:rsid w:val="00AA25F7"/>
    <w:rsid w:val="00AA4B49"/>
    <w:rsid w:val="00AD3AFC"/>
    <w:rsid w:val="00AD4972"/>
    <w:rsid w:val="00AD6497"/>
    <w:rsid w:val="00AE224E"/>
    <w:rsid w:val="00B02FDF"/>
    <w:rsid w:val="00B2114F"/>
    <w:rsid w:val="00B233F7"/>
    <w:rsid w:val="00B27BFC"/>
    <w:rsid w:val="00B35088"/>
    <w:rsid w:val="00B47C00"/>
    <w:rsid w:val="00B63E32"/>
    <w:rsid w:val="00B73882"/>
    <w:rsid w:val="00B73BF7"/>
    <w:rsid w:val="00B7638A"/>
    <w:rsid w:val="00B76A28"/>
    <w:rsid w:val="00B81F16"/>
    <w:rsid w:val="00B90EBA"/>
    <w:rsid w:val="00B93A95"/>
    <w:rsid w:val="00BA2609"/>
    <w:rsid w:val="00BB023A"/>
    <w:rsid w:val="00BC0BD9"/>
    <w:rsid w:val="00BC562A"/>
    <w:rsid w:val="00BD4FCB"/>
    <w:rsid w:val="00BE6D66"/>
    <w:rsid w:val="00BF69C5"/>
    <w:rsid w:val="00C11052"/>
    <w:rsid w:val="00C259F2"/>
    <w:rsid w:val="00C40CBA"/>
    <w:rsid w:val="00C5026F"/>
    <w:rsid w:val="00CF3D87"/>
    <w:rsid w:val="00D13DA7"/>
    <w:rsid w:val="00D442BB"/>
    <w:rsid w:val="00D52D46"/>
    <w:rsid w:val="00D549D8"/>
    <w:rsid w:val="00D609D4"/>
    <w:rsid w:val="00D63481"/>
    <w:rsid w:val="00D701F4"/>
    <w:rsid w:val="00D72CF4"/>
    <w:rsid w:val="00D74502"/>
    <w:rsid w:val="00D9066F"/>
    <w:rsid w:val="00DB017F"/>
    <w:rsid w:val="00DD31B8"/>
    <w:rsid w:val="00DE64F0"/>
    <w:rsid w:val="00DE6B11"/>
    <w:rsid w:val="00DF7A80"/>
    <w:rsid w:val="00E020B0"/>
    <w:rsid w:val="00E069DE"/>
    <w:rsid w:val="00E1453E"/>
    <w:rsid w:val="00E305D5"/>
    <w:rsid w:val="00E67191"/>
    <w:rsid w:val="00E73E81"/>
    <w:rsid w:val="00E8479F"/>
    <w:rsid w:val="00EC2EEB"/>
    <w:rsid w:val="00EF3011"/>
    <w:rsid w:val="00F019E9"/>
    <w:rsid w:val="00F01D09"/>
    <w:rsid w:val="00F04447"/>
    <w:rsid w:val="00F0570C"/>
    <w:rsid w:val="00F52449"/>
    <w:rsid w:val="00F62A52"/>
    <w:rsid w:val="00F64632"/>
    <w:rsid w:val="00F85462"/>
    <w:rsid w:val="00F920F3"/>
    <w:rsid w:val="00FA2154"/>
    <w:rsid w:val="00FA37E5"/>
    <w:rsid w:val="00FC3E11"/>
    <w:rsid w:val="00FD2FB3"/>
    <w:rsid w:val="00FF44C1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E5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07969"/>
    <w:pPr>
      <w:spacing w:before="0"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32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-wm-msonormal">
    <w:name w:val="-wm-msonormal"/>
    <w:basedOn w:val="Normln"/>
    <w:rsid w:val="00030E74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2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Jana Ing. (VZP ČR Ústředí)</dc:creator>
  <cp:keywords/>
  <dc:description/>
  <cp:lastModifiedBy>Sixtová Jana Ing. (VZP ČR Ústředí)</cp:lastModifiedBy>
  <cp:revision>4</cp:revision>
  <cp:lastPrinted>2024-04-29T07:52:00Z</cp:lastPrinted>
  <dcterms:created xsi:type="dcterms:W3CDTF">2024-05-28T09:23:00Z</dcterms:created>
  <dcterms:modified xsi:type="dcterms:W3CDTF">2024-05-29T06:08:00Z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