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4D13E" w14:textId="77777777" w:rsidR="00DD1F7C" w:rsidRDefault="00DD1F7C" w:rsidP="006D1EA3">
      <w:pPr>
        <w:rPr>
          <w:rStyle w:val="Hypertextovodkaz"/>
        </w:rPr>
      </w:pPr>
    </w:p>
    <w:p w14:paraId="4F3A4E4B" w14:textId="59358CDF" w:rsidR="006D1EA3" w:rsidRPr="00AB56BD" w:rsidRDefault="00097EDA" w:rsidP="006D1EA3">
      <w:pPr>
        <w:rPr>
          <w:rFonts w:cstheme="minorHAnsi"/>
          <w:b/>
          <w:sz w:val="36"/>
          <w:szCs w:val="36"/>
        </w:rPr>
      </w:pPr>
      <w:r>
        <w:rPr>
          <w:rFonts w:cstheme="minorHAnsi"/>
          <w:b/>
          <w:sz w:val="36"/>
          <w:szCs w:val="36"/>
        </w:rPr>
        <w:t>Brno se vyhouplo na první příčku v</w:t>
      </w:r>
      <w:r w:rsidR="00C85ADE">
        <w:rPr>
          <w:rFonts w:cstheme="minorHAnsi"/>
          <w:b/>
          <w:sz w:val="36"/>
          <w:szCs w:val="36"/>
        </w:rPr>
        <w:t xml:space="preserve"> letošním </w:t>
      </w:r>
      <w:r>
        <w:rPr>
          <w:rFonts w:cstheme="minorHAnsi"/>
          <w:b/>
          <w:sz w:val="36"/>
          <w:szCs w:val="36"/>
        </w:rPr>
        <w:t>finálovém celorepublikovém srovnání Města pro byznys</w:t>
      </w:r>
    </w:p>
    <w:p w14:paraId="0ADA661F" w14:textId="4663B5EF" w:rsidR="006D1EA3" w:rsidRPr="00976721" w:rsidRDefault="00EB6E2D" w:rsidP="006D1EA3">
      <w:pPr>
        <w:rPr>
          <w:rFonts w:cstheme="minorHAnsi"/>
          <w:b/>
        </w:rPr>
      </w:pPr>
      <w:r>
        <w:rPr>
          <w:rFonts w:cstheme="minorHAnsi"/>
          <w:b/>
        </w:rPr>
        <w:t>22</w:t>
      </w:r>
      <w:r w:rsidR="009A33C5">
        <w:rPr>
          <w:rFonts w:cstheme="minorHAnsi"/>
          <w:b/>
        </w:rPr>
        <w:t xml:space="preserve">. </w:t>
      </w:r>
      <w:r>
        <w:rPr>
          <w:rFonts w:cstheme="minorHAnsi"/>
          <w:b/>
        </w:rPr>
        <w:t>května</w:t>
      </w:r>
      <w:r w:rsidR="006D1EA3" w:rsidRPr="00976721">
        <w:rPr>
          <w:rFonts w:cstheme="minorHAnsi"/>
          <w:b/>
        </w:rPr>
        <w:t xml:space="preserve"> 202</w:t>
      </w:r>
      <w:r w:rsidR="00A250ED">
        <w:rPr>
          <w:rFonts w:cstheme="minorHAnsi"/>
          <w:b/>
        </w:rPr>
        <w:t>4</w:t>
      </w:r>
    </w:p>
    <w:p w14:paraId="275A905A" w14:textId="6052DEAD" w:rsidR="00D31F22" w:rsidRDefault="00D31F22" w:rsidP="00D31F22">
      <w:pPr>
        <w:spacing w:after="0"/>
        <w:jc w:val="both"/>
        <w:rPr>
          <w:rFonts w:cstheme="minorHAnsi"/>
          <w:bCs/>
        </w:rPr>
      </w:pPr>
      <w:r w:rsidRPr="006204E5">
        <w:rPr>
          <w:b/>
        </w:rPr>
        <w:t>Srovnávací výzkum Město pro byznys j</w:t>
      </w:r>
      <w:r>
        <w:rPr>
          <w:b/>
        </w:rPr>
        <w:t>asně</w:t>
      </w:r>
      <w:r w:rsidRPr="006204E5">
        <w:rPr>
          <w:b/>
        </w:rPr>
        <w:t xml:space="preserve"> ukázal, že Br</w:t>
      </w:r>
      <w:r>
        <w:rPr>
          <w:b/>
        </w:rPr>
        <w:t>no</w:t>
      </w:r>
      <w:r w:rsidRPr="006204E5">
        <w:rPr>
          <w:b/>
        </w:rPr>
        <w:t xml:space="preserve"> je podnikatelsky nejatraktivnějším městem </w:t>
      </w:r>
      <w:r w:rsidRPr="00F40C4A">
        <w:rPr>
          <w:b/>
        </w:rPr>
        <w:t>v České republice</w:t>
      </w:r>
      <w:r w:rsidRPr="006204E5">
        <w:rPr>
          <w:b/>
        </w:rPr>
        <w:t xml:space="preserve">. Zasloužil se o to vstřícný přístup radnice k podnikatelům i výhodné podmínky pro podnikání. </w:t>
      </w:r>
      <w:r w:rsidRPr="00F40C4A">
        <w:rPr>
          <w:b/>
        </w:rPr>
        <w:t>Stříbrnou příčku obsadil</w:t>
      </w:r>
      <w:r>
        <w:rPr>
          <w:b/>
        </w:rPr>
        <w:t>a Plzeň</w:t>
      </w:r>
      <w:r w:rsidRPr="00F40C4A">
        <w:rPr>
          <w:b/>
        </w:rPr>
        <w:t xml:space="preserve">, bronz bere </w:t>
      </w:r>
      <w:r>
        <w:rPr>
          <w:b/>
        </w:rPr>
        <w:t>Ostrava</w:t>
      </w:r>
      <w:r w:rsidRPr="00F40C4A">
        <w:rPr>
          <w:b/>
        </w:rPr>
        <w:t xml:space="preserve">. </w:t>
      </w:r>
      <w:r w:rsidRPr="006204E5">
        <w:rPr>
          <w:b/>
        </w:rPr>
        <w:t xml:space="preserve">Srovnávací výzkum zpracovává </w:t>
      </w:r>
      <w:r>
        <w:rPr>
          <w:b/>
        </w:rPr>
        <w:t xml:space="preserve">již sedmnáctým rokem </w:t>
      </w:r>
      <w:r w:rsidRPr="006204E5">
        <w:rPr>
          <w:b/>
        </w:rPr>
        <w:t>analytická agentura Datank a hodnotí v něm všech 205 obcí s</w:t>
      </w:r>
      <w:r w:rsidR="00C85ADE">
        <w:rPr>
          <w:b/>
        </w:rPr>
        <w:t> </w:t>
      </w:r>
      <w:r w:rsidRPr="006204E5">
        <w:rPr>
          <w:b/>
        </w:rPr>
        <w:t>rozšířenou působností v České republice.</w:t>
      </w:r>
    </w:p>
    <w:p w14:paraId="5B17490E" w14:textId="77777777" w:rsidR="00D31F22" w:rsidRPr="001256B9" w:rsidRDefault="00D31F22" w:rsidP="00D31F22">
      <w:pPr>
        <w:spacing w:after="0"/>
        <w:jc w:val="both"/>
        <w:rPr>
          <w:rStyle w:val="Siln"/>
        </w:rPr>
      </w:pPr>
    </w:p>
    <w:p w14:paraId="7371D0A4" w14:textId="21876F75" w:rsidR="00282C36" w:rsidRDefault="001256B9" w:rsidP="006D1EA3">
      <w:pPr>
        <w:spacing w:after="0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Moravská metropole </w:t>
      </w:r>
      <w:r w:rsidR="005A5540">
        <w:rPr>
          <w:rFonts w:cstheme="minorHAnsi"/>
          <w:b/>
        </w:rPr>
        <w:t>nabízí skvělý mix podmínek pro podnikání</w:t>
      </w:r>
    </w:p>
    <w:p w14:paraId="03B7A624" w14:textId="35C6C839" w:rsidR="00517B82" w:rsidRDefault="00517B82" w:rsidP="006D1EA3">
      <w:pPr>
        <w:spacing w:after="0"/>
        <w:jc w:val="both"/>
        <w:rPr>
          <w:rFonts w:cstheme="minorHAnsi"/>
          <w:bCs/>
        </w:rPr>
      </w:pPr>
      <w:r>
        <w:rPr>
          <w:rFonts w:cstheme="minorHAnsi"/>
          <w:bCs/>
        </w:rPr>
        <w:t>Při celorepublikovém srovnání má Brno velmi vysoký počet ekonomických subjektů v přepočtu na 1000 obyvatel, navíc jejich počet meziročně velmi výrazně narůstá. Ve městě myslí na elektromobilitu, alespoň to dokládá vůbec nejvyšší počet dobíjecích stanic pro elektromobily</w:t>
      </w:r>
      <w:r w:rsidR="006A39E5">
        <w:rPr>
          <w:rFonts w:cstheme="minorHAnsi"/>
          <w:bCs/>
        </w:rPr>
        <w:t xml:space="preserve">, přičemž jejich počet je velmi vysoký i při přepočtu na 100 firem. </w:t>
      </w:r>
      <w:r w:rsidR="00255765">
        <w:rPr>
          <w:rFonts w:cstheme="minorHAnsi"/>
          <w:bCs/>
        </w:rPr>
        <w:t xml:space="preserve">Příslibem pro rozvoj pracovního trhu </w:t>
      </w:r>
      <w:r w:rsidR="00BD7E47">
        <w:rPr>
          <w:rFonts w:cstheme="minorHAnsi"/>
          <w:bCs/>
        </w:rPr>
        <w:t xml:space="preserve">i do budoucna </w:t>
      </w:r>
      <w:r w:rsidR="00255765">
        <w:rPr>
          <w:rFonts w:cstheme="minorHAnsi"/>
          <w:bCs/>
        </w:rPr>
        <w:t xml:space="preserve">je </w:t>
      </w:r>
      <w:r w:rsidR="00BD7E47">
        <w:rPr>
          <w:rFonts w:cstheme="minorHAnsi"/>
          <w:bCs/>
        </w:rPr>
        <w:t xml:space="preserve">rovněž </w:t>
      </w:r>
      <w:r w:rsidR="00255765">
        <w:rPr>
          <w:rFonts w:cstheme="minorHAnsi"/>
          <w:bCs/>
        </w:rPr>
        <w:t xml:space="preserve">nárůst počtu obyvatel. </w:t>
      </w:r>
      <w:r>
        <w:rPr>
          <w:rFonts w:cstheme="minorHAnsi"/>
          <w:bCs/>
        </w:rPr>
        <w:t>Pokud jde o přístup veřejné správy, skvělého výsledku dosáhlo statutární město Brno v mystery testování, které prostřednictvím fiktivních podnikatelských dotazů ověřuje, jak kvalitně a jak rychle odpovídají místně příslušné živnostenské úřady. Město vynakládá dostatek finančních prostředků zejména do oblasti veřejné dopravy.</w:t>
      </w:r>
    </w:p>
    <w:p w14:paraId="33DCFA58" w14:textId="12CA4D45" w:rsidR="006D1EA3" w:rsidRDefault="006D1EA3" w:rsidP="006D1EA3">
      <w:pPr>
        <w:spacing w:after="0"/>
        <w:jc w:val="both"/>
      </w:pPr>
      <w:r w:rsidRPr="00BE2820">
        <w:rPr>
          <w:rFonts w:cstheme="minorHAnsi"/>
          <w:bCs/>
        </w:rPr>
        <w:br/>
      </w:r>
      <w:r w:rsidRPr="004C0C80">
        <w:rPr>
          <w:i/>
        </w:rPr>
        <w:t>„</w:t>
      </w:r>
      <w:r w:rsidR="009A4551">
        <w:rPr>
          <w:i/>
        </w:rPr>
        <w:t xml:space="preserve">Myslím, že ocenění </w:t>
      </w:r>
      <w:proofErr w:type="gramStart"/>
      <w:r w:rsidR="009A4551">
        <w:rPr>
          <w:i/>
        </w:rPr>
        <w:t>potěší</w:t>
      </w:r>
      <w:proofErr w:type="gramEnd"/>
      <w:r w:rsidR="009A4551">
        <w:rPr>
          <w:i/>
        </w:rPr>
        <w:t xml:space="preserve"> všechny ty, kteří pracují na tom, aby město bylo dobrým místem pro život po všech stránkách, nejenom pro podnikatelskou veřejnost. </w:t>
      </w:r>
      <w:r w:rsidR="0083414A">
        <w:rPr>
          <w:i/>
        </w:rPr>
        <w:t>V</w:t>
      </w:r>
      <w:r w:rsidR="009A4551">
        <w:rPr>
          <w:i/>
        </w:rPr>
        <w:t>elmi spolupracujeme s firmami, které v Brně vytvář</w:t>
      </w:r>
      <w:r w:rsidR="0083414A">
        <w:rPr>
          <w:i/>
        </w:rPr>
        <w:t>ej</w:t>
      </w:r>
      <w:r w:rsidR="009A4551">
        <w:rPr>
          <w:i/>
        </w:rPr>
        <w:t>í významný podíl na pracovním trhu. Měli jsme nedávno setkání, na kterém se řešila podpora vzdělávání v technických oborech. Chceme společnými silami s Jihomoravským krajem vytvořit platformu pro to, aby se studenti mohli lépe orientovat v technických oborech a aby si je také vybírali, protože Brno je a bude měst</w:t>
      </w:r>
      <w:r w:rsidR="0083414A">
        <w:rPr>
          <w:i/>
        </w:rPr>
        <w:t>em techniky</w:t>
      </w:r>
      <w:r w:rsidR="009A4551">
        <w:rPr>
          <w:i/>
        </w:rPr>
        <w:t xml:space="preserve">, kde se </w:t>
      </w:r>
      <w:proofErr w:type="gramStart"/>
      <w:r w:rsidR="009A4551">
        <w:rPr>
          <w:i/>
        </w:rPr>
        <w:t>tvoří</w:t>
      </w:r>
      <w:proofErr w:type="gramEnd"/>
      <w:r w:rsidR="009A4551">
        <w:rPr>
          <w:i/>
        </w:rPr>
        <w:t xml:space="preserve"> vysoká přidaná hodnota. A k tomu potřebujeme vzdělané lidi</w:t>
      </w:r>
      <w:r>
        <w:rPr>
          <w:i/>
        </w:rPr>
        <w:t>,</w:t>
      </w:r>
      <w:r w:rsidRPr="004C0C80">
        <w:rPr>
          <w:i/>
        </w:rPr>
        <w:t xml:space="preserve">“ </w:t>
      </w:r>
      <w:r w:rsidRPr="004C0C80">
        <w:t>říká</w:t>
      </w:r>
      <w:r w:rsidR="00517B82">
        <w:t xml:space="preserve"> zastupitelka Brna Anna Putnová.</w:t>
      </w:r>
    </w:p>
    <w:p w14:paraId="3F7CCC39" w14:textId="77777777" w:rsidR="006D1EA3" w:rsidRPr="00953D29" w:rsidRDefault="006D1EA3" w:rsidP="006D1EA3">
      <w:pPr>
        <w:spacing w:after="0"/>
        <w:jc w:val="both"/>
        <w:rPr>
          <w:rFonts w:cstheme="minorHAnsi"/>
          <w:bCs/>
        </w:rPr>
      </w:pPr>
    </w:p>
    <w:p w14:paraId="62E0B2CC" w14:textId="50D28B9D" w:rsidR="00EB6E2D" w:rsidRDefault="00EB6E2D" w:rsidP="00EB6E2D">
      <w:pPr>
        <w:spacing w:after="0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Plzeň </w:t>
      </w:r>
      <w:r w:rsidR="00517B82">
        <w:rPr>
          <w:rFonts w:cstheme="minorHAnsi"/>
          <w:b/>
        </w:rPr>
        <w:t>má kvalitní webové stránky z pohledu podnikatele</w:t>
      </w:r>
      <w:r w:rsidR="006A39E5">
        <w:rPr>
          <w:rFonts w:cstheme="minorHAnsi"/>
          <w:b/>
        </w:rPr>
        <w:t xml:space="preserve">, Ostrava </w:t>
      </w:r>
      <w:r w:rsidR="003706C2">
        <w:rPr>
          <w:rFonts w:cstheme="minorHAnsi"/>
          <w:b/>
        </w:rPr>
        <w:t>vysoký scóring úředních hodin</w:t>
      </w:r>
    </w:p>
    <w:p w14:paraId="568C44EA" w14:textId="4507D140" w:rsidR="00EB6E2D" w:rsidRDefault="00EB6E2D" w:rsidP="00EB6E2D">
      <w:pPr>
        <w:spacing w:after="0"/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Rozvoj podnikání v západočeské metropoli podporuje dobrá dopravní dostupnost. </w:t>
      </w:r>
      <w:r w:rsidR="006A39E5">
        <w:rPr>
          <w:rFonts w:cstheme="minorHAnsi"/>
          <w:bCs/>
        </w:rPr>
        <w:t>Nárůst počtu obyvatel je v rámci České republiky jeden z nejvyšších, což je příslibem pro rozvoj podnikání i do budoucna. Ve městě je velmi vysoký podíl firem nad 250 zaměstnanců na celkovém počtu ekonomických subjektů. V přístupu veřejné správy uspěla Plzeň zejména kvalitou svých webových stránek, na nichž podnikatelé naleznou v přehledné podobě vše potřebné, co potřebují pro komunikaci s úřadem, ale také řadu dalších informací a odkazů</w:t>
      </w:r>
      <w:r w:rsidR="003706C2">
        <w:rPr>
          <w:rFonts w:cstheme="minorHAnsi"/>
          <w:bCs/>
        </w:rPr>
        <w:t>, které mohou pomoci například při zakládání živnosti. Bronzová Ostrava se může pochlubit</w:t>
      </w:r>
      <w:r w:rsidR="006A39E5">
        <w:rPr>
          <w:rFonts w:cstheme="minorHAnsi"/>
          <w:bCs/>
        </w:rPr>
        <w:t xml:space="preserve"> </w:t>
      </w:r>
      <w:r w:rsidR="003706C2">
        <w:rPr>
          <w:rFonts w:cstheme="minorHAnsi"/>
          <w:bCs/>
        </w:rPr>
        <w:t xml:space="preserve">velmi vysokým počtem právnických osob v přepočtu na 1000 obyvatel. Podnikatele jistě </w:t>
      </w:r>
      <w:proofErr w:type="gramStart"/>
      <w:r w:rsidR="003706C2">
        <w:rPr>
          <w:rFonts w:cstheme="minorHAnsi"/>
          <w:bCs/>
        </w:rPr>
        <w:t>potěší</w:t>
      </w:r>
      <w:proofErr w:type="gramEnd"/>
      <w:r w:rsidR="003706C2">
        <w:rPr>
          <w:rFonts w:cstheme="minorHAnsi"/>
          <w:bCs/>
        </w:rPr>
        <w:t xml:space="preserve"> relativní dostatek volných pracovních míst. </w:t>
      </w:r>
      <w:r>
        <w:rPr>
          <w:rFonts w:cstheme="minorHAnsi"/>
          <w:bCs/>
        </w:rPr>
        <w:t>Radnice vynakládá nadprůměrně vysoké finanční prostředky zejména do oblasti veřejné dopravy</w:t>
      </w:r>
      <w:r w:rsidR="003706C2">
        <w:rPr>
          <w:rFonts w:cstheme="minorHAnsi"/>
          <w:bCs/>
        </w:rPr>
        <w:t>, ale také na kulturu</w:t>
      </w:r>
      <w:r>
        <w:rPr>
          <w:rFonts w:cstheme="minorHAnsi"/>
          <w:bCs/>
        </w:rPr>
        <w:t xml:space="preserve">. </w:t>
      </w:r>
      <w:r>
        <w:rPr>
          <w:rFonts w:cstheme="minorHAnsi"/>
          <w:bCs/>
        </w:rPr>
        <w:lastRenderedPageBreak/>
        <w:t>Pokud jde o přístup veřejné správy, ocen</w:t>
      </w:r>
      <w:r w:rsidR="008F4FB2">
        <w:rPr>
          <w:rFonts w:cstheme="minorHAnsi"/>
          <w:bCs/>
        </w:rPr>
        <w:t xml:space="preserve">ění </w:t>
      </w:r>
      <w:proofErr w:type="gramStart"/>
      <w:r w:rsidR="008F4FB2">
        <w:rPr>
          <w:rFonts w:cstheme="minorHAnsi"/>
          <w:bCs/>
        </w:rPr>
        <w:t>zaslouží</w:t>
      </w:r>
      <w:proofErr w:type="gramEnd"/>
      <w:r>
        <w:rPr>
          <w:rFonts w:cstheme="minorHAnsi"/>
          <w:bCs/>
        </w:rPr>
        <w:t xml:space="preserve"> </w:t>
      </w:r>
      <w:r w:rsidR="00025897">
        <w:rPr>
          <w:rFonts w:cstheme="minorHAnsi"/>
          <w:bCs/>
        </w:rPr>
        <w:t xml:space="preserve">vysoký </w:t>
      </w:r>
      <w:r>
        <w:rPr>
          <w:rFonts w:cstheme="minorHAnsi"/>
          <w:bCs/>
        </w:rPr>
        <w:t xml:space="preserve">scóring úředních hodin, tedy počet hodin, během nichž si můžou podnikatelé vyřídit vše potřebné pro své podnikání. </w:t>
      </w:r>
    </w:p>
    <w:p w14:paraId="6E332D52" w14:textId="77777777" w:rsidR="0088131B" w:rsidRDefault="0088131B" w:rsidP="006D1EA3">
      <w:pPr>
        <w:spacing w:after="0"/>
        <w:jc w:val="both"/>
        <w:rPr>
          <w:rFonts w:cstheme="minorHAnsi"/>
          <w:bCs/>
        </w:rPr>
      </w:pPr>
    </w:p>
    <w:p w14:paraId="2E303454" w14:textId="09C08CAB" w:rsidR="007A0DC0" w:rsidRPr="007A0DC0" w:rsidRDefault="007A0DC0" w:rsidP="007A0DC0">
      <w:pPr>
        <w:jc w:val="center"/>
        <w:rPr>
          <w:i/>
          <w:iCs/>
        </w:rPr>
      </w:pPr>
      <w:r>
        <w:rPr>
          <w:rFonts w:cstheme="minorHAnsi"/>
          <w:i/>
          <w:iCs/>
        </w:rPr>
        <w:t>***</w:t>
      </w:r>
    </w:p>
    <w:p w14:paraId="774B8F55" w14:textId="6DCE08D0" w:rsidR="006D1EA3" w:rsidRPr="00061AE9" w:rsidRDefault="006D1EA3" w:rsidP="006D1EA3">
      <w:pPr>
        <w:jc w:val="both"/>
        <w:rPr>
          <w:rFonts w:cs="Calibri"/>
          <w:i/>
          <w:iCs/>
          <w:szCs w:val="24"/>
        </w:rPr>
      </w:pPr>
      <w:r w:rsidRPr="00061AE9">
        <w:rPr>
          <w:rFonts w:cs="Calibri"/>
          <w:i/>
          <w:iCs/>
          <w:szCs w:val="24"/>
        </w:rPr>
        <w:t xml:space="preserve">Srovnávací výzkum Město pro byznys již </w:t>
      </w:r>
      <w:r w:rsidR="00421F22">
        <w:rPr>
          <w:rFonts w:cs="Calibri"/>
          <w:i/>
          <w:iCs/>
          <w:szCs w:val="24"/>
        </w:rPr>
        <w:t>sedmnáctým</w:t>
      </w:r>
      <w:r w:rsidRPr="00061AE9">
        <w:rPr>
          <w:rFonts w:cs="Calibri"/>
          <w:i/>
          <w:iCs/>
          <w:szCs w:val="24"/>
        </w:rPr>
        <w:t xml:space="preserve"> rokem hodnotí podnikatelský potenciál měst a obcí v České republice. Detailnímu zkoumání jsou podrobena všechna města a obce s rozšířenou působností. Analytici agentury Datank, která za výzkumem stojí po datové stránce, dělí své hodnocení do dvou hlavních kategorií, podnikatelské prostředí a přístup veřejné správy. V rámci výzkumu jsou shrnuty všechny důležité informace a statistická data, která dále rozvíjejí </w:t>
      </w:r>
      <w:proofErr w:type="gramStart"/>
      <w:r w:rsidRPr="00061AE9">
        <w:rPr>
          <w:rFonts w:cs="Calibri"/>
          <w:i/>
          <w:iCs/>
          <w:szCs w:val="24"/>
        </w:rPr>
        <w:t>disku</w:t>
      </w:r>
      <w:r w:rsidR="00421F22">
        <w:rPr>
          <w:rFonts w:cs="Calibri"/>
          <w:i/>
          <w:iCs/>
          <w:szCs w:val="24"/>
        </w:rPr>
        <w:t>z</w:t>
      </w:r>
      <w:r w:rsidRPr="00061AE9">
        <w:rPr>
          <w:rFonts w:cs="Calibri"/>
          <w:i/>
          <w:iCs/>
          <w:szCs w:val="24"/>
        </w:rPr>
        <w:t>i</w:t>
      </w:r>
      <w:proofErr w:type="gramEnd"/>
      <w:r w:rsidRPr="00061AE9">
        <w:rPr>
          <w:rFonts w:cs="Calibri"/>
          <w:i/>
          <w:iCs/>
          <w:szCs w:val="24"/>
        </w:rPr>
        <w:t xml:space="preserve"> o vývoji podnikatelského prostředí v ČR. Pořadí se vyhodnocuje za jednotlivé kraje a také za celou republiku. Vyhlašovatelem výzkumu je týdeník Ekonom, partnerem Stavební skupina</w:t>
      </w:r>
      <w:r w:rsidR="00F94B7E">
        <w:rPr>
          <w:rFonts w:cs="Calibri"/>
          <w:i/>
          <w:iCs/>
          <w:szCs w:val="24"/>
        </w:rPr>
        <w:t xml:space="preserve"> </w:t>
      </w:r>
      <w:r w:rsidR="00624EA6">
        <w:rPr>
          <w:rFonts w:cs="Calibri"/>
          <w:i/>
          <w:iCs/>
          <w:szCs w:val="24"/>
        </w:rPr>
        <w:t>VINCI Construction CS</w:t>
      </w:r>
      <w:r w:rsidR="003C53A0">
        <w:rPr>
          <w:rFonts w:cs="Calibri"/>
          <w:i/>
          <w:iCs/>
          <w:szCs w:val="24"/>
        </w:rPr>
        <w:t xml:space="preserve">, </w:t>
      </w:r>
      <w:r w:rsidRPr="00061AE9">
        <w:rPr>
          <w:rFonts w:cs="Calibri"/>
          <w:i/>
          <w:iCs/>
          <w:szCs w:val="24"/>
        </w:rPr>
        <w:t>Svaz měst a obcí ČR</w:t>
      </w:r>
      <w:r w:rsidR="003C53A0">
        <w:rPr>
          <w:rFonts w:cs="Calibri"/>
          <w:i/>
          <w:iCs/>
          <w:szCs w:val="24"/>
        </w:rPr>
        <w:t xml:space="preserve"> a Centrum udržitelné budoucnosti.</w:t>
      </w:r>
    </w:p>
    <w:p w14:paraId="28C69675" w14:textId="77777777" w:rsidR="006D1EA3" w:rsidRPr="00E63B72" w:rsidRDefault="006D1EA3" w:rsidP="006D1EA3">
      <w:pPr>
        <w:jc w:val="both"/>
        <w:rPr>
          <w:rFonts w:cs="Calibri"/>
          <w:szCs w:val="24"/>
        </w:rPr>
      </w:pPr>
    </w:p>
    <w:tbl>
      <w:tblPr>
        <w:tblpPr w:leftFromText="141" w:rightFromText="141" w:vertAnchor="text" w:horzAnchor="margin" w:tblpXSpec="right" w:tblpY="32"/>
        <w:tblOverlap w:val="never"/>
        <w:tblW w:w="4495" w:type="dxa"/>
        <w:tblBorders>
          <w:top w:val="single" w:sz="12" w:space="0" w:color="00B050"/>
          <w:left w:val="single" w:sz="12" w:space="0" w:color="00B050"/>
          <w:bottom w:val="single" w:sz="12" w:space="0" w:color="00B050"/>
          <w:right w:val="single" w:sz="12" w:space="0" w:color="00B050"/>
          <w:insideH w:val="single" w:sz="12" w:space="0" w:color="00B050"/>
          <w:insideV w:val="single" w:sz="12" w:space="0" w:color="00B05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95"/>
      </w:tblGrid>
      <w:tr w:rsidR="006D1EA3" w:rsidRPr="00BF6E83" w14:paraId="0070B7A1" w14:textId="77777777" w:rsidTr="005D4653">
        <w:trPr>
          <w:trHeight w:hRule="exact" w:val="314"/>
        </w:trPr>
        <w:tc>
          <w:tcPr>
            <w:tcW w:w="4495" w:type="dxa"/>
            <w:noWrap/>
            <w:vAlign w:val="center"/>
          </w:tcPr>
          <w:p w14:paraId="6586D39A" w14:textId="7E56ED56" w:rsidR="006D1EA3" w:rsidRPr="00843869" w:rsidRDefault="006D1EA3" w:rsidP="00935344">
            <w:pPr>
              <w:tabs>
                <w:tab w:val="left" w:pos="2250"/>
              </w:tabs>
              <w:spacing w:after="0" w:line="36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16"/>
              </w:rPr>
            </w:pPr>
            <w:r w:rsidRPr="00843869">
              <w:rPr>
                <w:rFonts w:ascii="Arial" w:eastAsia="Arial Unicode MS" w:hAnsi="Arial" w:cs="Arial"/>
                <w:b/>
                <w:bCs/>
                <w:sz w:val="20"/>
                <w:szCs w:val="16"/>
              </w:rPr>
              <w:t>Cel</w:t>
            </w:r>
            <w:r w:rsidR="001139D5">
              <w:rPr>
                <w:rFonts w:ascii="Arial" w:eastAsia="Arial Unicode MS" w:hAnsi="Arial" w:cs="Arial"/>
                <w:b/>
                <w:bCs/>
                <w:sz w:val="20"/>
                <w:szCs w:val="16"/>
              </w:rPr>
              <w:t>orepublikové</w:t>
            </w:r>
            <w:r w:rsidRPr="00843869">
              <w:rPr>
                <w:rFonts w:ascii="Arial" w:eastAsia="Arial Unicode MS" w:hAnsi="Arial" w:cs="Arial"/>
                <w:b/>
                <w:bCs/>
                <w:sz w:val="20"/>
                <w:szCs w:val="16"/>
              </w:rPr>
              <w:t xml:space="preserve"> pořadí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16"/>
              </w:rPr>
              <w:t xml:space="preserve"> – Město pro byznys 202</w:t>
            </w:r>
            <w:r w:rsidR="00421F22">
              <w:rPr>
                <w:rFonts w:ascii="Arial" w:eastAsia="Arial Unicode MS" w:hAnsi="Arial" w:cs="Arial"/>
                <w:b/>
                <w:bCs/>
                <w:sz w:val="20"/>
                <w:szCs w:val="16"/>
              </w:rPr>
              <w:t>3</w:t>
            </w:r>
          </w:p>
        </w:tc>
      </w:tr>
      <w:tr w:rsidR="006D1EA3" w:rsidRPr="00BF6E83" w14:paraId="08EF1ADA" w14:textId="77777777" w:rsidTr="005D4653">
        <w:trPr>
          <w:trHeight w:hRule="exact" w:val="258"/>
        </w:trPr>
        <w:tc>
          <w:tcPr>
            <w:tcW w:w="4495" w:type="dxa"/>
            <w:noWrap/>
            <w:vAlign w:val="center"/>
          </w:tcPr>
          <w:p w14:paraId="7F41588D" w14:textId="2B30B432" w:rsidR="006D1EA3" w:rsidRPr="00843869" w:rsidRDefault="006D1EA3" w:rsidP="00935344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  <w:r w:rsidRPr="00843869">
              <w:rPr>
                <w:rFonts w:ascii="Arial" w:hAnsi="Arial" w:cs="Arial"/>
                <w:b/>
                <w:sz w:val="20"/>
                <w:szCs w:val="16"/>
              </w:rPr>
              <w:t xml:space="preserve">1. </w:t>
            </w:r>
            <w:r w:rsidR="000339F5">
              <w:rPr>
                <w:rFonts w:ascii="Arial" w:hAnsi="Arial" w:cs="Arial"/>
                <w:b/>
                <w:sz w:val="20"/>
                <w:szCs w:val="16"/>
              </w:rPr>
              <w:t>Brno</w:t>
            </w:r>
          </w:p>
        </w:tc>
      </w:tr>
      <w:tr w:rsidR="006D1EA3" w:rsidRPr="00BF6E83" w14:paraId="299C8477" w14:textId="77777777" w:rsidTr="005D4653">
        <w:trPr>
          <w:trHeight w:hRule="exact" w:val="258"/>
        </w:trPr>
        <w:tc>
          <w:tcPr>
            <w:tcW w:w="4495" w:type="dxa"/>
            <w:noWrap/>
            <w:vAlign w:val="center"/>
          </w:tcPr>
          <w:p w14:paraId="57E5E55A" w14:textId="2A1A3E64" w:rsidR="006D1EA3" w:rsidRPr="00843869" w:rsidRDefault="006D1EA3" w:rsidP="00935344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t xml:space="preserve">2. </w:t>
            </w:r>
            <w:r w:rsidR="000339F5">
              <w:rPr>
                <w:rFonts w:ascii="Arial" w:hAnsi="Arial" w:cs="Arial"/>
                <w:b/>
                <w:sz w:val="20"/>
                <w:szCs w:val="16"/>
              </w:rPr>
              <w:t>P</w:t>
            </w:r>
            <w:r w:rsidR="00EB6E2D">
              <w:rPr>
                <w:rFonts w:ascii="Arial" w:hAnsi="Arial" w:cs="Arial"/>
                <w:b/>
                <w:sz w:val="20"/>
                <w:szCs w:val="16"/>
              </w:rPr>
              <w:t>lzeň</w:t>
            </w:r>
          </w:p>
        </w:tc>
      </w:tr>
      <w:tr w:rsidR="006D1EA3" w:rsidRPr="00BF6E83" w14:paraId="34BB26ED" w14:textId="77777777" w:rsidTr="005D4653">
        <w:trPr>
          <w:trHeight w:hRule="exact" w:val="258"/>
        </w:trPr>
        <w:tc>
          <w:tcPr>
            <w:tcW w:w="4495" w:type="dxa"/>
            <w:noWrap/>
            <w:vAlign w:val="center"/>
          </w:tcPr>
          <w:p w14:paraId="749289BE" w14:textId="4765F155" w:rsidR="006D1EA3" w:rsidRPr="00843869" w:rsidRDefault="006D1EA3" w:rsidP="00935344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  <w:r w:rsidRPr="00843869">
              <w:rPr>
                <w:rFonts w:ascii="Arial" w:hAnsi="Arial" w:cs="Arial"/>
                <w:b/>
                <w:sz w:val="20"/>
                <w:szCs w:val="16"/>
              </w:rPr>
              <w:t xml:space="preserve">3. </w:t>
            </w:r>
            <w:r w:rsidR="00614A63">
              <w:rPr>
                <w:rFonts w:ascii="Arial" w:hAnsi="Arial" w:cs="Arial"/>
                <w:b/>
                <w:sz w:val="20"/>
                <w:szCs w:val="16"/>
              </w:rPr>
              <w:t xml:space="preserve"> </w:t>
            </w:r>
            <w:r w:rsidR="00EB6E2D">
              <w:rPr>
                <w:rFonts w:ascii="Arial" w:hAnsi="Arial" w:cs="Arial"/>
                <w:b/>
                <w:sz w:val="20"/>
                <w:szCs w:val="16"/>
              </w:rPr>
              <w:t>Ostrava</w:t>
            </w:r>
          </w:p>
        </w:tc>
      </w:tr>
      <w:tr w:rsidR="006D1EA3" w:rsidRPr="00BF6E83" w14:paraId="1184966B" w14:textId="77777777" w:rsidTr="005D4653">
        <w:trPr>
          <w:trHeight w:hRule="exact" w:val="258"/>
        </w:trPr>
        <w:tc>
          <w:tcPr>
            <w:tcW w:w="4495" w:type="dxa"/>
            <w:noWrap/>
            <w:vAlign w:val="center"/>
          </w:tcPr>
          <w:p w14:paraId="0AD110F7" w14:textId="323D4AC4" w:rsidR="006D1EA3" w:rsidRPr="00843869" w:rsidRDefault="006D1EA3" w:rsidP="00935344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  <w:r w:rsidRPr="00843869">
              <w:rPr>
                <w:rFonts w:ascii="Arial" w:hAnsi="Arial" w:cs="Arial"/>
                <w:b/>
                <w:sz w:val="20"/>
                <w:szCs w:val="16"/>
              </w:rPr>
              <w:t xml:space="preserve">4. </w:t>
            </w:r>
            <w:r w:rsidR="00EB6E2D">
              <w:rPr>
                <w:rFonts w:ascii="Arial" w:hAnsi="Arial" w:cs="Arial"/>
                <w:b/>
                <w:sz w:val="20"/>
                <w:szCs w:val="16"/>
              </w:rPr>
              <w:t>Pardubice</w:t>
            </w:r>
          </w:p>
        </w:tc>
      </w:tr>
      <w:tr w:rsidR="006D1EA3" w:rsidRPr="00BF6E83" w14:paraId="4A15CE4B" w14:textId="77777777" w:rsidTr="005D4653">
        <w:trPr>
          <w:trHeight w:hRule="exact" w:val="258"/>
        </w:trPr>
        <w:tc>
          <w:tcPr>
            <w:tcW w:w="4495" w:type="dxa"/>
            <w:noWrap/>
            <w:vAlign w:val="center"/>
          </w:tcPr>
          <w:p w14:paraId="268B53AD" w14:textId="42597C92" w:rsidR="006D1EA3" w:rsidRPr="00843869" w:rsidRDefault="006D1EA3" w:rsidP="00935344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  <w:r w:rsidRPr="00843869">
              <w:rPr>
                <w:rFonts w:ascii="Arial" w:hAnsi="Arial" w:cs="Arial"/>
                <w:b/>
                <w:sz w:val="20"/>
                <w:szCs w:val="16"/>
              </w:rPr>
              <w:t xml:space="preserve">5. </w:t>
            </w:r>
            <w:r w:rsidR="00EB6E2D">
              <w:rPr>
                <w:rFonts w:ascii="Arial" w:hAnsi="Arial" w:cs="Arial"/>
                <w:b/>
                <w:sz w:val="20"/>
                <w:szCs w:val="16"/>
              </w:rPr>
              <w:t>Mladá Boleslav</w:t>
            </w:r>
          </w:p>
        </w:tc>
      </w:tr>
      <w:tr w:rsidR="006D1EA3" w:rsidRPr="00BF6E83" w14:paraId="7A97CBDF" w14:textId="77777777" w:rsidTr="005D4653">
        <w:trPr>
          <w:trHeight w:hRule="exact" w:val="258"/>
        </w:trPr>
        <w:tc>
          <w:tcPr>
            <w:tcW w:w="4495" w:type="dxa"/>
            <w:noWrap/>
            <w:vAlign w:val="center"/>
          </w:tcPr>
          <w:p w14:paraId="4197E0CC" w14:textId="55904CD1" w:rsidR="006D1EA3" w:rsidRPr="00843869" w:rsidRDefault="006D1EA3" w:rsidP="00935344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t xml:space="preserve">6. </w:t>
            </w:r>
            <w:r w:rsidR="00EB6E2D">
              <w:rPr>
                <w:rFonts w:ascii="Arial" w:hAnsi="Arial" w:cs="Arial"/>
                <w:b/>
                <w:sz w:val="20"/>
                <w:szCs w:val="16"/>
              </w:rPr>
              <w:t>Hradec Králové</w:t>
            </w:r>
          </w:p>
        </w:tc>
      </w:tr>
      <w:tr w:rsidR="006D1EA3" w:rsidRPr="00BF6E83" w14:paraId="239CABDA" w14:textId="77777777" w:rsidTr="005D4653">
        <w:trPr>
          <w:trHeight w:hRule="exact" w:val="258"/>
        </w:trPr>
        <w:tc>
          <w:tcPr>
            <w:tcW w:w="4495" w:type="dxa"/>
            <w:noWrap/>
            <w:vAlign w:val="center"/>
          </w:tcPr>
          <w:p w14:paraId="2C751B14" w14:textId="7584B764" w:rsidR="006D1EA3" w:rsidRPr="00843869" w:rsidRDefault="006D1EA3" w:rsidP="00935344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  <w:r w:rsidRPr="00843869">
              <w:rPr>
                <w:rFonts w:ascii="Arial" w:hAnsi="Arial" w:cs="Arial"/>
                <w:b/>
                <w:sz w:val="20"/>
                <w:szCs w:val="16"/>
              </w:rPr>
              <w:t xml:space="preserve">7. </w:t>
            </w:r>
            <w:r w:rsidR="00EB6E2D">
              <w:rPr>
                <w:rFonts w:ascii="Arial" w:hAnsi="Arial" w:cs="Arial"/>
                <w:b/>
                <w:sz w:val="20"/>
                <w:szCs w:val="16"/>
              </w:rPr>
              <w:t>Havířov</w:t>
            </w:r>
          </w:p>
        </w:tc>
      </w:tr>
      <w:tr w:rsidR="006D1EA3" w:rsidRPr="00BF6E83" w14:paraId="70D6279B" w14:textId="77777777" w:rsidTr="005D4653">
        <w:trPr>
          <w:trHeight w:hRule="exact" w:val="258"/>
        </w:trPr>
        <w:tc>
          <w:tcPr>
            <w:tcW w:w="4495" w:type="dxa"/>
            <w:noWrap/>
            <w:vAlign w:val="center"/>
          </w:tcPr>
          <w:p w14:paraId="4C799F04" w14:textId="4E30535C" w:rsidR="006D1EA3" w:rsidRPr="00843869" w:rsidRDefault="006D1EA3" w:rsidP="00935344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  <w:r w:rsidRPr="00843869">
              <w:rPr>
                <w:rFonts w:ascii="Arial" w:hAnsi="Arial" w:cs="Arial"/>
                <w:b/>
                <w:sz w:val="20"/>
                <w:szCs w:val="16"/>
              </w:rPr>
              <w:t>8.</w:t>
            </w:r>
            <w:r w:rsidR="00D17F83">
              <w:rPr>
                <w:rFonts w:ascii="Arial" w:hAnsi="Arial" w:cs="Arial"/>
                <w:b/>
                <w:sz w:val="20"/>
                <w:szCs w:val="16"/>
              </w:rPr>
              <w:t xml:space="preserve"> </w:t>
            </w:r>
            <w:r w:rsidR="00EB6E2D">
              <w:rPr>
                <w:rFonts w:ascii="Arial" w:hAnsi="Arial" w:cs="Arial"/>
                <w:b/>
                <w:sz w:val="20"/>
                <w:szCs w:val="16"/>
              </w:rPr>
              <w:t>Olomouc</w:t>
            </w:r>
          </w:p>
        </w:tc>
      </w:tr>
      <w:tr w:rsidR="006D1EA3" w:rsidRPr="00BF6E83" w14:paraId="1F267A58" w14:textId="77777777" w:rsidTr="005D4653">
        <w:trPr>
          <w:trHeight w:hRule="exact" w:val="258"/>
        </w:trPr>
        <w:tc>
          <w:tcPr>
            <w:tcW w:w="4495" w:type="dxa"/>
            <w:noWrap/>
            <w:vAlign w:val="center"/>
          </w:tcPr>
          <w:p w14:paraId="62BA4644" w14:textId="5244B4B3" w:rsidR="006D1EA3" w:rsidRPr="00843869" w:rsidRDefault="006D1EA3" w:rsidP="00935344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  <w:r w:rsidRPr="00843869">
              <w:rPr>
                <w:rFonts w:ascii="Arial" w:hAnsi="Arial" w:cs="Arial"/>
                <w:b/>
                <w:sz w:val="20"/>
                <w:szCs w:val="16"/>
              </w:rPr>
              <w:t xml:space="preserve">9. </w:t>
            </w:r>
            <w:r w:rsidR="00EB6E2D">
              <w:rPr>
                <w:rFonts w:ascii="Arial" w:hAnsi="Arial" w:cs="Arial"/>
                <w:b/>
                <w:sz w:val="20"/>
                <w:szCs w:val="16"/>
              </w:rPr>
              <w:t>Pohořelice</w:t>
            </w:r>
          </w:p>
        </w:tc>
      </w:tr>
      <w:tr w:rsidR="006D1EA3" w:rsidRPr="00BF6E83" w14:paraId="2F56BE63" w14:textId="77777777" w:rsidTr="005D4653">
        <w:trPr>
          <w:trHeight w:hRule="exact" w:val="258"/>
        </w:trPr>
        <w:tc>
          <w:tcPr>
            <w:tcW w:w="4495" w:type="dxa"/>
            <w:noWrap/>
            <w:vAlign w:val="center"/>
          </w:tcPr>
          <w:p w14:paraId="22303B11" w14:textId="7C2E6E96" w:rsidR="006D1EA3" w:rsidRPr="00843869" w:rsidRDefault="006D1EA3" w:rsidP="00935344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  <w:r w:rsidRPr="00843869">
              <w:rPr>
                <w:rFonts w:ascii="Arial" w:hAnsi="Arial" w:cs="Arial"/>
                <w:b/>
                <w:sz w:val="20"/>
                <w:szCs w:val="16"/>
              </w:rPr>
              <w:t xml:space="preserve">10. </w:t>
            </w:r>
            <w:r w:rsidR="00EB6E2D">
              <w:rPr>
                <w:rFonts w:ascii="Arial" w:hAnsi="Arial" w:cs="Arial"/>
                <w:b/>
                <w:sz w:val="20"/>
                <w:szCs w:val="16"/>
              </w:rPr>
              <w:t>Hodonín</w:t>
            </w:r>
          </w:p>
        </w:tc>
      </w:tr>
      <w:tr w:rsidR="000339F5" w:rsidRPr="00BF6E83" w14:paraId="3199C4D9" w14:textId="77777777" w:rsidTr="005D4653">
        <w:trPr>
          <w:trHeight w:hRule="exact" w:val="258"/>
        </w:trPr>
        <w:tc>
          <w:tcPr>
            <w:tcW w:w="4495" w:type="dxa"/>
            <w:noWrap/>
            <w:vAlign w:val="center"/>
          </w:tcPr>
          <w:p w14:paraId="755DFC02" w14:textId="30DCD7C9" w:rsidR="000339F5" w:rsidRPr="00843869" w:rsidRDefault="000339F5" w:rsidP="00935344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t xml:space="preserve">11. </w:t>
            </w:r>
            <w:r w:rsidR="00EB6E2D">
              <w:rPr>
                <w:rFonts w:ascii="Arial" w:hAnsi="Arial" w:cs="Arial"/>
                <w:b/>
                <w:sz w:val="20"/>
                <w:szCs w:val="16"/>
              </w:rPr>
              <w:t>Lysá nad Labem</w:t>
            </w:r>
          </w:p>
        </w:tc>
      </w:tr>
      <w:tr w:rsidR="000339F5" w:rsidRPr="00BF6E83" w14:paraId="6E34DBF2" w14:textId="77777777" w:rsidTr="005D4653">
        <w:trPr>
          <w:trHeight w:hRule="exact" w:val="258"/>
        </w:trPr>
        <w:tc>
          <w:tcPr>
            <w:tcW w:w="4495" w:type="dxa"/>
            <w:noWrap/>
            <w:vAlign w:val="center"/>
          </w:tcPr>
          <w:p w14:paraId="6AA59AE9" w14:textId="3B309951" w:rsidR="000339F5" w:rsidRPr="00843869" w:rsidRDefault="000339F5" w:rsidP="00935344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t xml:space="preserve">12. </w:t>
            </w:r>
            <w:r w:rsidR="00EB6E2D">
              <w:rPr>
                <w:rFonts w:ascii="Arial" w:hAnsi="Arial" w:cs="Arial"/>
                <w:b/>
                <w:sz w:val="20"/>
                <w:szCs w:val="16"/>
              </w:rPr>
              <w:t>Most</w:t>
            </w:r>
          </w:p>
        </w:tc>
      </w:tr>
      <w:tr w:rsidR="000339F5" w:rsidRPr="00BF6E83" w14:paraId="550C1138" w14:textId="77777777" w:rsidTr="005D4653">
        <w:trPr>
          <w:trHeight w:hRule="exact" w:val="258"/>
        </w:trPr>
        <w:tc>
          <w:tcPr>
            <w:tcW w:w="4495" w:type="dxa"/>
            <w:noWrap/>
            <w:vAlign w:val="center"/>
          </w:tcPr>
          <w:p w14:paraId="3BFC31B7" w14:textId="48A78E2D" w:rsidR="000339F5" w:rsidRPr="00843869" w:rsidRDefault="000339F5" w:rsidP="00935344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t xml:space="preserve">13. </w:t>
            </w:r>
            <w:r w:rsidR="00EB6E2D">
              <w:rPr>
                <w:rFonts w:ascii="Arial" w:hAnsi="Arial" w:cs="Arial"/>
                <w:b/>
                <w:sz w:val="20"/>
                <w:szCs w:val="16"/>
              </w:rPr>
              <w:t>Karviná</w:t>
            </w:r>
          </w:p>
        </w:tc>
      </w:tr>
      <w:tr w:rsidR="000339F5" w:rsidRPr="00BF6E83" w14:paraId="56BEE686" w14:textId="77777777" w:rsidTr="005D4653">
        <w:trPr>
          <w:trHeight w:hRule="exact" w:val="258"/>
        </w:trPr>
        <w:tc>
          <w:tcPr>
            <w:tcW w:w="4495" w:type="dxa"/>
            <w:noWrap/>
            <w:vAlign w:val="center"/>
          </w:tcPr>
          <w:p w14:paraId="7B0DAD51" w14:textId="3DC3FB75" w:rsidR="000339F5" w:rsidRPr="00843869" w:rsidRDefault="000339F5" w:rsidP="00935344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t xml:space="preserve">14. </w:t>
            </w:r>
            <w:r w:rsidR="00EB6E2D">
              <w:rPr>
                <w:rFonts w:ascii="Arial" w:hAnsi="Arial" w:cs="Arial"/>
                <w:b/>
                <w:sz w:val="20"/>
                <w:szCs w:val="16"/>
              </w:rPr>
              <w:t>Česká Třebová</w:t>
            </w:r>
          </w:p>
        </w:tc>
      </w:tr>
      <w:tr w:rsidR="000339F5" w:rsidRPr="00BF6E83" w14:paraId="35088714" w14:textId="77777777" w:rsidTr="005D4653">
        <w:trPr>
          <w:trHeight w:hRule="exact" w:val="258"/>
        </w:trPr>
        <w:tc>
          <w:tcPr>
            <w:tcW w:w="4495" w:type="dxa"/>
            <w:noWrap/>
            <w:vAlign w:val="center"/>
          </w:tcPr>
          <w:p w14:paraId="0046BE8B" w14:textId="305605D4" w:rsidR="000339F5" w:rsidRPr="00843869" w:rsidRDefault="000339F5" w:rsidP="00935344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t>15. Bo</w:t>
            </w:r>
            <w:r w:rsidR="00EB6E2D">
              <w:rPr>
                <w:rFonts w:ascii="Arial" w:hAnsi="Arial" w:cs="Arial"/>
                <w:b/>
                <w:sz w:val="20"/>
                <w:szCs w:val="16"/>
              </w:rPr>
              <w:t>humín</w:t>
            </w:r>
          </w:p>
        </w:tc>
      </w:tr>
    </w:tbl>
    <w:p w14:paraId="1D3BE96C" w14:textId="77777777" w:rsidR="006D1EA3" w:rsidRPr="000E6ECF" w:rsidRDefault="006D1EA3" w:rsidP="006D1EA3">
      <w:pPr>
        <w:autoSpaceDE w:val="0"/>
        <w:autoSpaceDN w:val="0"/>
        <w:adjustRightInd w:val="0"/>
        <w:spacing w:after="0"/>
        <w:jc w:val="both"/>
        <w:rPr>
          <w:b/>
        </w:rPr>
      </w:pPr>
      <w:r w:rsidRPr="000E6ECF">
        <w:rPr>
          <w:b/>
        </w:rPr>
        <w:t>Kontakt pro média:</w:t>
      </w:r>
    </w:p>
    <w:p w14:paraId="1E769F04" w14:textId="77777777" w:rsidR="006D1EA3" w:rsidRPr="007B5C2F" w:rsidRDefault="006D1EA3" w:rsidP="006D1EA3">
      <w:pPr>
        <w:autoSpaceDE w:val="0"/>
        <w:autoSpaceDN w:val="0"/>
        <w:adjustRightInd w:val="0"/>
        <w:spacing w:after="0"/>
        <w:jc w:val="both"/>
      </w:pPr>
      <w:r>
        <w:t>David Pavlát</w:t>
      </w:r>
    </w:p>
    <w:p w14:paraId="47BF1A92" w14:textId="4B0AC334" w:rsidR="006D1EA3" w:rsidRPr="007B5C2F" w:rsidRDefault="006D1EA3" w:rsidP="006D1EA3">
      <w:pPr>
        <w:autoSpaceDE w:val="0"/>
        <w:autoSpaceDN w:val="0"/>
        <w:adjustRightInd w:val="0"/>
        <w:spacing w:after="0"/>
        <w:jc w:val="both"/>
      </w:pPr>
      <w:r w:rsidRPr="007B5C2F">
        <w:t>P</w:t>
      </w:r>
      <w:r>
        <w:t xml:space="preserve">roject </w:t>
      </w:r>
      <w:r w:rsidR="00E700D5">
        <w:t>Director</w:t>
      </w:r>
    </w:p>
    <w:p w14:paraId="096B1CC6" w14:textId="77777777" w:rsidR="006D1EA3" w:rsidRPr="007B5C2F" w:rsidRDefault="006D1EA3" w:rsidP="006D1EA3">
      <w:pPr>
        <w:autoSpaceDE w:val="0"/>
        <w:autoSpaceDN w:val="0"/>
        <w:adjustRightInd w:val="0"/>
        <w:spacing w:after="0"/>
        <w:jc w:val="both"/>
      </w:pPr>
      <w:r w:rsidRPr="007B5C2F">
        <w:t>Communa</w:t>
      </w:r>
    </w:p>
    <w:p w14:paraId="6D3B8136" w14:textId="77777777" w:rsidR="006D1EA3" w:rsidRPr="007B5C2F" w:rsidRDefault="006D1EA3" w:rsidP="006D1EA3">
      <w:pPr>
        <w:autoSpaceDE w:val="0"/>
        <w:autoSpaceDN w:val="0"/>
        <w:adjustRightInd w:val="0"/>
        <w:spacing w:after="0"/>
        <w:jc w:val="both"/>
      </w:pPr>
      <w:r>
        <w:t>777 771 087</w:t>
      </w:r>
    </w:p>
    <w:p w14:paraId="1ED8F80B" w14:textId="77777777" w:rsidR="006D1EA3" w:rsidRPr="007B5C2F" w:rsidRDefault="00000000" w:rsidP="006D1EA3">
      <w:pPr>
        <w:autoSpaceDE w:val="0"/>
        <w:autoSpaceDN w:val="0"/>
        <w:adjustRightInd w:val="0"/>
        <w:spacing w:after="0"/>
        <w:jc w:val="both"/>
      </w:pPr>
      <w:hyperlink r:id="rId10" w:history="1">
        <w:r w:rsidR="006D1EA3" w:rsidRPr="00D0133C">
          <w:rPr>
            <w:rStyle w:val="Hypertextovodkaz"/>
          </w:rPr>
          <w:t>david.pavlat@communa.cz</w:t>
        </w:r>
      </w:hyperlink>
      <w:r w:rsidR="006D1EA3">
        <w:t xml:space="preserve"> </w:t>
      </w:r>
    </w:p>
    <w:p w14:paraId="04B0888E" w14:textId="77777777" w:rsidR="006D1EA3" w:rsidRPr="00E15155" w:rsidRDefault="006D1EA3" w:rsidP="006D1EA3">
      <w:pPr>
        <w:jc w:val="both"/>
        <w:rPr>
          <w:rFonts w:cs="Calibri"/>
          <w:szCs w:val="24"/>
        </w:rPr>
      </w:pPr>
    </w:p>
    <w:p w14:paraId="03811310" w14:textId="77777777" w:rsidR="00FE49FB" w:rsidRDefault="00FE49FB" w:rsidP="00D32CA3">
      <w:pPr>
        <w:spacing w:line="360" w:lineRule="auto"/>
        <w:rPr>
          <w:rFonts w:cs="Calibri"/>
          <w:b/>
          <w:sz w:val="32"/>
        </w:rPr>
      </w:pPr>
    </w:p>
    <w:p w14:paraId="43992CE0" w14:textId="77777777" w:rsidR="002B1410" w:rsidRDefault="002B1410" w:rsidP="006D1EA3">
      <w:pPr>
        <w:spacing w:line="360" w:lineRule="auto"/>
        <w:jc w:val="center"/>
        <w:rPr>
          <w:rFonts w:cs="Calibri"/>
          <w:b/>
          <w:sz w:val="32"/>
        </w:rPr>
      </w:pPr>
    </w:p>
    <w:p w14:paraId="5D5C8617" w14:textId="77777777" w:rsidR="002B1410" w:rsidRDefault="002B1410" w:rsidP="006D1EA3">
      <w:pPr>
        <w:spacing w:line="360" w:lineRule="auto"/>
        <w:jc w:val="center"/>
        <w:rPr>
          <w:rFonts w:cs="Calibri"/>
          <w:b/>
          <w:sz w:val="32"/>
        </w:rPr>
      </w:pPr>
    </w:p>
    <w:p w14:paraId="3838CEE0" w14:textId="21307694" w:rsidR="00CD442D" w:rsidRDefault="00CD442D" w:rsidP="00CD442D">
      <w:pPr>
        <w:spacing w:line="360" w:lineRule="auto"/>
        <w:rPr>
          <w:rFonts w:cs="Calibri"/>
          <w:b/>
          <w:sz w:val="32"/>
        </w:rPr>
      </w:pPr>
    </w:p>
    <w:p w14:paraId="55099A41" w14:textId="77777777" w:rsidR="00971232" w:rsidRDefault="00971232" w:rsidP="00971232">
      <w:pPr>
        <w:spacing w:line="360" w:lineRule="auto"/>
        <w:rPr>
          <w:rFonts w:cs="Calibri"/>
          <w:b/>
          <w:sz w:val="32"/>
        </w:rPr>
      </w:pPr>
    </w:p>
    <w:p w14:paraId="6B777A34" w14:textId="77777777" w:rsidR="00C90A49" w:rsidRDefault="00C90A49" w:rsidP="00971232">
      <w:pPr>
        <w:spacing w:line="360" w:lineRule="auto"/>
        <w:rPr>
          <w:rFonts w:cs="Calibri"/>
          <w:b/>
          <w:sz w:val="32"/>
        </w:rPr>
      </w:pPr>
    </w:p>
    <w:p w14:paraId="2153AE0E" w14:textId="77777777" w:rsidR="00C90A49" w:rsidRDefault="00C90A49" w:rsidP="00971232">
      <w:pPr>
        <w:spacing w:line="360" w:lineRule="auto"/>
        <w:rPr>
          <w:rFonts w:cs="Calibri"/>
          <w:b/>
          <w:sz w:val="32"/>
        </w:rPr>
      </w:pPr>
    </w:p>
    <w:p w14:paraId="68192748" w14:textId="77777777" w:rsidR="00C90A49" w:rsidRDefault="00C90A49" w:rsidP="00971232">
      <w:pPr>
        <w:spacing w:line="360" w:lineRule="auto"/>
        <w:rPr>
          <w:rFonts w:cs="Calibri"/>
          <w:b/>
          <w:sz w:val="32"/>
        </w:rPr>
      </w:pPr>
    </w:p>
    <w:p w14:paraId="52AE4E6C" w14:textId="1838FFEE" w:rsidR="006D1EA3" w:rsidRDefault="006D1EA3" w:rsidP="006D1EA3">
      <w:pPr>
        <w:spacing w:line="360" w:lineRule="auto"/>
        <w:jc w:val="center"/>
        <w:rPr>
          <w:rFonts w:cs="Calibri"/>
          <w:i/>
          <w:sz w:val="32"/>
        </w:rPr>
      </w:pPr>
      <w:r w:rsidRPr="00166E9F">
        <w:rPr>
          <w:rFonts w:cs="Calibri"/>
          <w:b/>
          <w:sz w:val="32"/>
        </w:rPr>
        <w:lastRenderedPageBreak/>
        <w:t>Město pro byznys 202</w:t>
      </w:r>
      <w:r w:rsidR="007E0E19">
        <w:rPr>
          <w:rFonts w:cs="Calibri"/>
          <w:b/>
          <w:sz w:val="32"/>
        </w:rPr>
        <w:t>3</w:t>
      </w:r>
    </w:p>
    <w:p w14:paraId="04037328" w14:textId="77777777" w:rsidR="006D1EA3" w:rsidRDefault="006D1EA3" w:rsidP="006D1EA3">
      <w:pPr>
        <w:spacing w:before="240" w:after="120" w:line="360" w:lineRule="auto"/>
        <w:jc w:val="both"/>
        <w:rPr>
          <w:rFonts w:cs="Calibri"/>
          <w:b/>
          <w:iCs/>
          <w:sz w:val="24"/>
        </w:rPr>
      </w:pPr>
      <w:r>
        <w:rPr>
          <w:rFonts w:cs="Calibri"/>
          <w:b/>
          <w:iCs/>
          <w:sz w:val="24"/>
        </w:rPr>
        <w:t>Základní informace o výzkumu</w:t>
      </w:r>
    </w:p>
    <w:p w14:paraId="13658AEB" w14:textId="5A6FE3E4" w:rsidR="006D1EA3" w:rsidRDefault="006D1EA3" w:rsidP="006D1EA3">
      <w:pPr>
        <w:spacing w:line="360" w:lineRule="auto"/>
        <w:jc w:val="both"/>
        <w:rPr>
          <w:rFonts w:cs="Calibri"/>
        </w:rPr>
      </w:pPr>
      <w:r>
        <w:rPr>
          <w:rFonts w:cs="Calibri"/>
          <w:iCs/>
        </w:rPr>
        <w:t xml:space="preserve">Město pro byznys je </w:t>
      </w:r>
      <w:r>
        <w:rPr>
          <w:rFonts w:cs="Calibri"/>
          <w:b/>
          <w:iCs/>
        </w:rPr>
        <w:t>srovnávací výzkum</w:t>
      </w:r>
      <w:r>
        <w:rPr>
          <w:rFonts w:cs="Calibri"/>
          <w:iCs/>
        </w:rPr>
        <w:t xml:space="preserve">, </w:t>
      </w:r>
      <w:r>
        <w:rPr>
          <w:rFonts w:cs="Calibri"/>
        </w:rPr>
        <w:t xml:space="preserve">který již </w:t>
      </w:r>
      <w:r w:rsidR="007E0E19">
        <w:rPr>
          <w:rFonts w:cs="Calibri"/>
        </w:rPr>
        <w:t>sedmnáctým</w:t>
      </w:r>
      <w:r>
        <w:rPr>
          <w:rFonts w:cs="Calibri"/>
        </w:rPr>
        <w:t xml:space="preserve"> rokem vyhodnocuje podnikatelské prostředí ve všech obcích s rozšířenou působností v ČR a městských částech Hlavního města Prahy</w:t>
      </w:r>
      <w:r>
        <w:rPr>
          <w:rFonts w:cs="Calibri"/>
          <w:iCs/>
        </w:rPr>
        <w:t>. Vyhlašovatelem výzkumu je týdeník Ekonom. Data vyhodnocuje agentura pro informace a analýzy Datank.</w:t>
      </w:r>
    </w:p>
    <w:p w14:paraId="398F147E" w14:textId="77777777" w:rsidR="006D1EA3" w:rsidRDefault="006D1EA3" w:rsidP="006D1EA3">
      <w:pPr>
        <w:spacing w:before="240" w:line="360" w:lineRule="auto"/>
        <w:jc w:val="both"/>
        <w:rPr>
          <w:rFonts w:cs="Calibri"/>
          <w:iCs/>
        </w:rPr>
      </w:pPr>
      <w:r>
        <w:rPr>
          <w:rFonts w:cs="Calibri"/>
          <w:b/>
          <w:iCs/>
          <w:sz w:val="24"/>
        </w:rPr>
        <w:t>Cílem výzkumu</w:t>
      </w:r>
      <w:r>
        <w:rPr>
          <w:rFonts w:cs="Calibri"/>
          <w:iCs/>
          <w:sz w:val="24"/>
        </w:rPr>
        <w:t xml:space="preserve"> </w:t>
      </w:r>
      <w:r>
        <w:rPr>
          <w:rFonts w:cs="Calibri"/>
          <w:iCs/>
        </w:rPr>
        <w:t xml:space="preserve">je vytvořit diskusní platformu na téma podpory malého a středního podnikání a poskytnout zpětnou vazbu radnicím. </w:t>
      </w:r>
    </w:p>
    <w:p w14:paraId="4111E550" w14:textId="77777777" w:rsidR="006D1EA3" w:rsidRDefault="006D1EA3" w:rsidP="006D1EA3">
      <w:pPr>
        <w:spacing w:before="360" w:line="360" w:lineRule="auto"/>
        <w:jc w:val="both"/>
        <w:rPr>
          <w:rFonts w:cs="Calibri"/>
          <w:b/>
          <w:sz w:val="24"/>
        </w:rPr>
      </w:pPr>
      <w:r>
        <w:rPr>
          <w:rFonts w:cs="Calibri"/>
          <w:b/>
          <w:sz w:val="24"/>
        </w:rPr>
        <w:t>Metodika hodnocení</w:t>
      </w:r>
    </w:p>
    <w:p w14:paraId="66970919" w14:textId="15A79F8E" w:rsidR="006D1EA3" w:rsidRDefault="006D1EA3" w:rsidP="006D1EA3">
      <w:pPr>
        <w:autoSpaceDE w:val="0"/>
        <w:autoSpaceDN w:val="0"/>
        <w:adjustRightInd w:val="0"/>
        <w:spacing w:after="100" w:line="360" w:lineRule="auto"/>
        <w:jc w:val="both"/>
        <w:rPr>
          <w:rFonts w:eastAsia="HelveticaCE" w:cs="Calibri"/>
        </w:rPr>
      </w:pPr>
      <w:r>
        <w:rPr>
          <w:rFonts w:cs="Calibri"/>
        </w:rPr>
        <w:t xml:space="preserve">Město pro byznys je nejrozsáhlejším výzkumem municipalit v ČR. Srovnává mezi sebou </w:t>
      </w:r>
      <w:r>
        <w:rPr>
          <w:rFonts w:cs="Calibri"/>
          <w:b/>
        </w:rPr>
        <w:t>205 obcí a 22 městských částí Hlavního města Prahy</w:t>
      </w:r>
      <w:r>
        <w:rPr>
          <w:rFonts w:cs="Calibri"/>
        </w:rPr>
        <w:t xml:space="preserve">, k čemuž využívá největšího počtu kritérií. Výzkum získává necelých 15 tisíc dat z nezávislých zdrojů, jako jsou </w:t>
      </w:r>
      <w:r>
        <w:rPr>
          <w:rFonts w:eastAsia="HelveticaCE" w:cs="Calibri"/>
        </w:rPr>
        <w:t xml:space="preserve">Český statistický úřad, Ministerstvo financí ČR, Ministerstvo práce a sociálních věcí ČR, CRIF – Czech </w:t>
      </w:r>
      <w:proofErr w:type="spellStart"/>
      <w:r>
        <w:rPr>
          <w:rFonts w:eastAsia="HelveticaCE" w:cs="Calibri"/>
        </w:rPr>
        <w:t>Credit</w:t>
      </w:r>
      <w:proofErr w:type="spellEnd"/>
      <w:r>
        <w:rPr>
          <w:rFonts w:eastAsia="HelveticaCE" w:cs="Calibri"/>
        </w:rPr>
        <w:t xml:space="preserve"> </w:t>
      </w:r>
      <w:proofErr w:type="spellStart"/>
      <w:r>
        <w:rPr>
          <w:rFonts w:eastAsia="HelveticaCE" w:cs="Calibri"/>
        </w:rPr>
        <w:t>Bureau</w:t>
      </w:r>
      <w:proofErr w:type="spellEnd"/>
      <w:r>
        <w:rPr>
          <w:rFonts w:eastAsia="HelveticaCE" w:cs="Calibri"/>
        </w:rPr>
        <w:t>, Ministerstvo školství, mládeže a tělovýchovy. Další data se získávají vlastními „mystery testováními“ a vlastními šetřeními.</w:t>
      </w:r>
    </w:p>
    <w:p w14:paraId="4B44F885" w14:textId="437D1C95" w:rsidR="006D1EA3" w:rsidRDefault="006D1EA3" w:rsidP="006D1EA3">
      <w:pPr>
        <w:autoSpaceDE w:val="0"/>
        <w:autoSpaceDN w:val="0"/>
        <w:adjustRightInd w:val="0"/>
        <w:spacing w:before="240" w:after="100" w:line="360" w:lineRule="auto"/>
        <w:jc w:val="both"/>
        <w:rPr>
          <w:rFonts w:cs="Calibri"/>
        </w:rPr>
      </w:pPr>
      <w:r>
        <w:rPr>
          <w:rFonts w:cs="Calibri"/>
        </w:rPr>
        <w:t xml:space="preserve">Metodika hodnocení je založena na vyhodnocení </w:t>
      </w:r>
      <w:r>
        <w:rPr>
          <w:rFonts w:cs="Calibri"/>
          <w:b/>
        </w:rPr>
        <w:t>2</w:t>
      </w:r>
      <w:r w:rsidR="00CF4065">
        <w:rPr>
          <w:rFonts w:cs="Calibri"/>
          <w:b/>
        </w:rPr>
        <w:t>9</w:t>
      </w:r>
      <w:r>
        <w:rPr>
          <w:rFonts w:cs="Calibri"/>
          <w:b/>
        </w:rPr>
        <w:t xml:space="preserve"> kritérií</w:t>
      </w:r>
      <w:r>
        <w:rPr>
          <w:rFonts w:cs="Calibri"/>
        </w:rPr>
        <w:t xml:space="preserve"> rozdělených do dvou základních oblastí:</w:t>
      </w:r>
    </w:p>
    <w:p w14:paraId="2FFEEA7F" w14:textId="7FF205E8" w:rsidR="006D1EA3" w:rsidRDefault="006D1EA3" w:rsidP="006D1EA3">
      <w:pPr>
        <w:numPr>
          <w:ilvl w:val="0"/>
          <w:numId w:val="1"/>
        </w:numPr>
        <w:spacing w:line="360" w:lineRule="auto"/>
        <w:ind w:left="714" w:hanging="357"/>
        <w:jc w:val="both"/>
        <w:rPr>
          <w:rFonts w:cs="Calibri"/>
        </w:rPr>
      </w:pPr>
      <w:r>
        <w:rPr>
          <w:rFonts w:cs="Calibri"/>
          <w:b/>
        </w:rPr>
        <w:t>Podnikatelské prostředí</w:t>
      </w:r>
      <w:r>
        <w:rPr>
          <w:rFonts w:cs="Calibri"/>
        </w:rPr>
        <w:t xml:space="preserve"> – 1</w:t>
      </w:r>
      <w:r w:rsidR="001F14D8">
        <w:rPr>
          <w:rFonts w:cs="Calibri"/>
        </w:rPr>
        <w:t>6</w:t>
      </w:r>
      <w:r>
        <w:rPr>
          <w:rFonts w:cs="Calibri"/>
        </w:rPr>
        <w:t xml:space="preserve"> kritérií</w:t>
      </w:r>
    </w:p>
    <w:p w14:paraId="6176DE5B" w14:textId="62DD0797" w:rsidR="006D1EA3" w:rsidRDefault="006D1EA3" w:rsidP="006D1EA3">
      <w:pPr>
        <w:numPr>
          <w:ilvl w:val="0"/>
          <w:numId w:val="1"/>
        </w:numPr>
        <w:spacing w:line="360" w:lineRule="auto"/>
        <w:ind w:left="714" w:hanging="357"/>
        <w:jc w:val="both"/>
        <w:rPr>
          <w:rFonts w:cs="Calibri"/>
        </w:rPr>
      </w:pPr>
      <w:r>
        <w:rPr>
          <w:rFonts w:cs="Calibri"/>
          <w:b/>
          <w:bCs/>
        </w:rPr>
        <w:t>Přístup veřejné správy</w:t>
      </w:r>
      <w:r>
        <w:rPr>
          <w:rFonts w:cs="Calibri"/>
          <w:bCs/>
        </w:rPr>
        <w:t xml:space="preserve"> – 1</w:t>
      </w:r>
      <w:r w:rsidR="00CF4065">
        <w:rPr>
          <w:rFonts w:cs="Calibri"/>
          <w:bCs/>
        </w:rPr>
        <w:t>3</w:t>
      </w:r>
      <w:r>
        <w:rPr>
          <w:rFonts w:cs="Calibri"/>
          <w:bCs/>
        </w:rPr>
        <w:t xml:space="preserve"> kritérií</w:t>
      </w:r>
    </w:p>
    <w:p w14:paraId="283D2932" w14:textId="2CFFABFA" w:rsidR="00552BD3" w:rsidRDefault="00552BD3" w:rsidP="00552BD3">
      <w:pPr>
        <w:pStyle w:val="Normlnweb"/>
        <w:shd w:val="clear" w:color="auto" w:fill="FFFFFF"/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Style w:val="Siln"/>
          <w:rFonts w:ascii="Calibri" w:hAnsi="Calibri" w:cs="Calibri"/>
          <w:sz w:val="22"/>
          <w:szCs w:val="22"/>
        </w:rPr>
        <w:t>1) PODNIKATELSKÉ PROSTŘEDÍ – 16 kritérií (40 % hodnocení)</w:t>
      </w:r>
    </w:p>
    <w:p w14:paraId="4D62185D" w14:textId="77777777" w:rsidR="00552BD3" w:rsidRDefault="00552BD3" w:rsidP="00552BD3">
      <w:pPr>
        <w:pStyle w:val="Normlnweb"/>
        <w:shd w:val="clear" w:color="auto" w:fill="FFFFFF"/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Style w:val="Siln"/>
          <w:rFonts w:ascii="Calibri" w:hAnsi="Calibri" w:cs="Calibri"/>
          <w:sz w:val="22"/>
          <w:szCs w:val="22"/>
        </w:rPr>
        <w:t xml:space="preserve">• </w:t>
      </w:r>
      <w:r w:rsidRPr="009A71C5">
        <w:rPr>
          <w:rStyle w:val="Siln"/>
          <w:rFonts w:ascii="Calibri" w:hAnsi="Calibri" w:cs="Calibri"/>
          <w:sz w:val="22"/>
          <w:szCs w:val="22"/>
        </w:rPr>
        <w:t>podíl podnikatel</w:t>
      </w:r>
      <w:r w:rsidRPr="009A71C5">
        <w:rPr>
          <w:rFonts w:ascii="Calibri" w:hAnsi="Calibri" w:cs="Calibri"/>
          <w:b/>
          <w:sz w:val="22"/>
          <w:szCs w:val="22"/>
        </w:rPr>
        <w:t>ů</w:t>
      </w:r>
      <w:r>
        <w:rPr>
          <w:rFonts w:ascii="Calibri" w:hAnsi="Calibri" w:cs="Calibri"/>
          <w:sz w:val="22"/>
          <w:szCs w:val="22"/>
        </w:rPr>
        <w:t xml:space="preserve"> (podíl podnikajících fyzických osob v ekonomicky aktivním obyvatelstvu); údaj je za celé ORP; čím vyšší podíl, tím je město hodnoceno lépe</w:t>
      </w:r>
    </w:p>
    <w:p w14:paraId="474D8046" w14:textId="77777777" w:rsidR="00552BD3" w:rsidRDefault="00552BD3" w:rsidP="00552BD3">
      <w:pPr>
        <w:pStyle w:val="Normlnweb"/>
        <w:shd w:val="clear" w:color="auto" w:fill="FFFFFF"/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•</w:t>
      </w:r>
      <w:r>
        <w:rPr>
          <w:rStyle w:val="Siln"/>
          <w:rFonts w:ascii="Calibri" w:hAnsi="Calibri" w:cs="Calibri"/>
          <w:sz w:val="22"/>
          <w:szCs w:val="22"/>
        </w:rPr>
        <w:t xml:space="preserve"> </w:t>
      </w:r>
      <w:r w:rsidRPr="009A71C5">
        <w:rPr>
          <w:rStyle w:val="Siln"/>
          <w:rFonts w:ascii="Calibri" w:hAnsi="Calibri" w:cs="Calibri"/>
          <w:sz w:val="22"/>
          <w:szCs w:val="22"/>
        </w:rPr>
        <w:t>podíl firem</w:t>
      </w:r>
      <w:r>
        <w:rPr>
          <w:rFonts w:ascii="Calibri" w:hAnsi="Calibri" w:cs="Calibri"/>
          <w:sz w:val="22"/>
          <w:szCs w:val="22"/>
        </w:rPr>
        <w:t xml:space="preserve"> (počet právnických osob na 1000 obyvatel); údaj je za celé ORP; čím vyšší podíl, tím je město hodnoceno lépe</w:t>
      </w:r>
    </w:p>
    <w:p w14:paraId="63B11C08" w14:textId="77777777" w:rsidR="00552BD3" w:rsidRDefault="00552BD3" w:rsidP="00552BD3">
      <w:pPr>
        <w:pStyle w:val="Normlnweb"/>
        <w:shd w:val="clear" w:color="auto" w:fill="FFFFFF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9A71C5">
        <w:rPr>
          <w:rFonts w:ascii="Calibri" w:hAnsi="Calibri" w:cs="Calibri"/>
          <w:sz w:val="22"/>
          <w:szCs w:val="22"/>
        </w:rPr>
        <w:t xml:space="preserve">• </w:t>
      </w:r>
      <w:r w:rsidRPr="009A71C5">
        <w:rPr>
          <w:rStyle w:val="Siln"/>
          <w:rFonts w:ascii="Calibri" w:hAnsi="Calibri" w:cs="Calibri"/>
          <w:sz w:val="22"/>
          <w:szCs w:val="22"/>
        </w:rPr>
        <w:t>podíl velkých firem v místním podnikatelském prostředí</w:t>
      </w:r>
      <w:r>
        <w:rPr>
          <w:rFonts w:ascii="Calibri" w:hAnsi="Calibri" w:cs="Calibri"/>
          <w:sz w:val="22"/>
          <w:szCs w:val="22"/>
        </w:rPr>
        <w:t xml:space="preserve"> (podíl firem s více než 250 zaměstnanci na 100 ekonomických subjektů); čím vyšší podíl, tím je město hodnoceno lépe</w:t>
      </w:r>
    </w:p>
    <w:p w14:paraId="1C8D4D6E" w14:textId="77777777" w:rsidR="00552BD3" w:rsidRDefault="00552BD3" w:rsidP="00552BD3">
      <w:pPr>
        <w:pStyle w:val="Normlnweb"/>
        <w:shd w:val="clear" w:color="auto" w:fill="FFFFFF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9F75C3">
        <w:rPr>
          <w:rFonts w:ascii="Calibri" w:hAnsi="Calibri" w:cs="Calibri"/>
          <w:sz w:val="22"/>
          <w:szCs w:val="22"/>
        </w:rPr>
        <w:lastRenderedPageBreak/>
        <w:t xml:space="preserve">• </w:t>
      </w:r>
      <w:r w:rsidRPr="009F75C3">
        <w:rPr>
          <w:rStyle w:val="Siln"/>
          <w:rFonts w:ascii="Calibri" w:hAnsi="Calibri" w:cs="Calibri"/>
          <w:sz w:val="22"/>
          <w:szCs w:val="22"/>
        </w:rPr>
        <w:t>p</w:t>
      </w:r>
      <w:r>
        <w:rPr>
          <w:rStyle w:val="Siln"/>
          <w:rFonts w:ascii="Calibri" w:hAnsi="Calibri" w:cs="Calibri"/>
          <w:sz w:val="22"/>
          <w:szCs w:val="22"/>
        </w:rPr>
        <w:t>očet ekonomických subjektů na obyvatele</w:t>
      </w:r>
    </w:p>
    <w:p w14:paraId="1FCF0178" w14:textId="77777777" w:rsidR="00552BD3" w:rsidRDefault="00552BD3" w:rsidP="00552BD3">
      <w:pPr>
        <w:pStyle w:val="Normlnweb"/>
        <w:shd w:val="clear" w:color="auto" w:fill="FFFFFF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9A71C5">
        <w:rPr>
          <w:rFonts w:ascii="Calibri" w:hAnsi="Calibri" w:cs="Calibri"/>
          <w:sz w:val="22"/>
          <w:szCs w:val="22"/>
        </w:rPr>
        <w:t xml:space="preserve">• </w:t>
      </w:r>
      <w:r w:rsidRPr="009A71C5">
        <w:rPr>
          <w:rStyle w:val="Siln"/>
          <w:rFonts w:ascii="Calibri" w:hAnsi="Calibri" w:cs="Calibri"/>
          <w:sz w:val="22"/>
          <w:szCs w:val="22"/>
        </w:rPr>
        <w:t>vývoj počtu ekonomických subjektů</w:t>
      </w:r>
      <w:r>
        <w:rPr>
          <w:rFonts w:ascii="Calibri" w:hAnsi="Calibri" w:cs="Calibri"/>
          <w:sz w:val="22"/>
          <w:szCs w:val="22"/>
        </w:rPr>
        <w:t xml:space="preserve"> (meziroční rozdíl počtu ekonomických subjektů); údaj je za celé ORP; čím vyšší změna, tím je město hodnoceno lépe</w:t>
      </w:r>
    </w:p>
    <w:p w14:paraId="72503A1C" w14:textId="77777777" w:rsidR="00552BD3" w:rsidRDefault="00552BD3" w:rsidP="00552BD3">
      <w:pPr>
        <w:pStyle w:val="Normlnweb"/>
        <w:shd w:val="clear" w:color="auto" w:fill="FFFFFF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9A71C5">
        <w:rPr>
          <w:rFonts w:ascii="Calibri" w:hAnsi="Calibri" w:cs="Calibri"/>
          <w:sz w:val="22"/>
          <w:szCs w:val="22"/>
        </w:rPr>
        <w:t xml:space="preserve">• </w:t>
      </w:r>
      <w:r w:rsidRPr="009A71C5">
        <w:rPr>
          <w:rStyle w:val="Siln"/>
          <w:rFonts w:ascii="Calibri" w:hAnsi="Calibri" w:cs="Calibri"/>
          <w:sz w:val="22"/>
          <w:szCs w:val="22"/>
        </w:rPr>
        <w:t>index stáří</w:t>
      </w:r>
      <w:r>
        <w:rPr>
          <w:rStyle w:val="Siln"/>
          <w:rFonts w:ascii="Calibri" w:hAnsi="Calibri" w:cs="Calibri"/>
          <w:sz w:val="22"/>
          <w:szCs w:val="22"/>
        </w:rPr>
        <w:t xml:space="preserve"> (poměr obyvatel ve věku do 15 let ku obyvatelům nad 65 let)</w:t>
      </w:r>
      <w:r>
        <w:rPr>
          <w:rFonts w:ascii="Calibri" w:hAnsi="Calibri" w:cs="Calibri"/>
          <w:sz w:val="22"/>
          <w:szCs w:val="22"/>
        </w:rPr>
        <w:t>; čím mladší populace, tím lépe</w:t>
      </w:r>
    </w:p>
    <w:p w14:paraId="0AD22A87" w14:textId="77777777" w:rsidR="00552BD3" w:rsidRDefault="00552BD3" w:rsidP="00552BD3">
      <w:pPr>
        <w:pStyle w:val="Normlnweb"/>
        <w:shd w:val="clear" w:color="auto" w:fill="FFFFFF"/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• </w:t>
      </w:r>
      <w:r w:rsidRPr="009A71C5">
        <w:rPr>
          <w:rStyle w:val="Siln"/>
          <w:rFonts w:ascii="Calibri" w:hAnsi="Calibri" w:cs="Calibri"/>
          <w:sz w:val="22"/>
          <w:szCs w:val="22"/>
        </w:rPr>
        <w:t>vzdálenost k dálniční síti</w:t>
      </w:r>
      <w:r w:rsidRPr="009A71C5">
        <w:rPr>
          <w:rFonts w:ascii="Calibri" w:hAnsi="Calibri" w:cs="Calibri"/>
          <w:sz w:val="22"/>
          <w:szCs w:val="22"/>
        </w:rPr>
        <w:t>;</w:t>
      </w:r>
      <w:r>
        <w:rPr>
          <w:rFonts w:ascii="Calibri" w:hAnsi="Calibri" w:cs="Calibri"/>
          <w:sz w:val="22"/>
          <w:szCs w:val="22"/>
        </w:rPr>
        <w:t xml:space="preserve"> údaj se vztahuje jen k hodnocenému městu</w:t>
      </w:r>
    </w:p>
    <w:p w14:paraId="463F8D6B" w14:textId="77777777" w:rsidR="00552BD3" w:rsidRDefault="00552BD3" w:rsidP="00552BD3">
      <w:pPr>
        <w:pStyle w:val="Normlnweb"/>
        <w:shd w:val="clear" w:color="auto" w:fill="FFFFFF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9F75C3">
        <w:rPr>
          <w:rFonts w:ascii="Calibri" w:hAnsi="Calibri" w:cs="Calibri"/>
          <w:sz w:val="22"/>
          <w:szCs w:val="22"/>
        </w:rPr>
        <w:t xml:space="preserve">• </w:t>
      </w:r>
      <w:r w:rsidRPr="009F75C3">
        <w:rPr>
          <w:rStyle w:val="Siln"/>
          <w:rFonts w:ascii="Calibri" w:hAnsi="Calibri" w:cs="Calibri"/>
          <w:sz w:val="22"/>
          <w:szCs w:val="22"/>
        </w:rPr>
        <w:t>p</w:t>
      </w:r>
      <w:r>
        <w:rPr>
          <w:rStyle w:val="Siln"/>
          <w:rFonts w:ascii="Calibri" w:hAnsi="Calibri" w:cs="Calibri"/>
          <w:sz w:val="22"/>
          <w:szCs w:val="22"/>
        </w:rPr>
        <w:t>očet uchazečů o zaměstnání na obyvatele (čím více uchazečů, tím lépe)</w:t>
      </w:r>
    </w:p>
    <w:p w14:paraId="0F212DC6" w14:textId="77777777" w:rsidR="00552BD3" w:rsidRDefault="00552BD3" w:rsidP="00552BD3">
      <w:pPr>
        <w:pStyle w:val="Normlnweb"/>
        <w:shd w:val="clear" w:color="auto" w:fill="FFFFFF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9F75C3">
        <w:rPr>
          <w:rFonts w:ascii="Calibri" w:hAnsi="Calibri" w:cs="Calibri"/>
          <w:sz w:val="22"/>
          <w:szCs w:val="22"/>
        </w:rPr>
        <w:t xml:space="preserve">• </w:t>
      </w:r>
      <w:r w:rsidRPr="009F75C3">
        <w:rPr>
          <w:rStyle w:val="Siln"/>
          <w:rFonts w:ascii="Calibri" w:hAnsi="Calibri" w:cs="Calibri"/>
          <w:sz w:val="22"/>
          <w:szCs w:val="22"/>
        </w:rPr>
        <w:t>p</w:t>
      </w:r>
      <w:r>
        <w:rPr>
          <w:rStyle w:val="Siln"/>
          <w:rFonts w:ascii="Calibri" w:hAnsi="Calibri" w:cs="Calibri"/>
          <w:sz w:val="22"/>
          <w:szCs w:val="22"/>
        </w:rPr>
        <w:t>očet uchazečů o zaměstnání na obyvatele ve věku 15 až 65 let (čím více uchazečů, tím lépe)</w:t>
      </w:r>
    </w:p>
    <w:p w14:paraId="06E5B317" w14:textId="77777777" w:rsidR="00552BD3" w:rsidRDefault="00552BD3" w:rsidP="00552BD3">
      <w:pPr>
        <w:pStyle w:val="Normlnweb"/>
        <w:shd w:val="clear" w:color="auto" w:fill="FFFFFF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9F75C3">
        <w:rPr>
          <w:rFonts w:ascii="Calibri" w:hAnsi="Calibri" w:cs="Calibri"/>
          <w:sz w:val="22"/>
          <w:szCs w:val="22"/>
        </w:rPr>
        <w:t xml:space="preserve">• </w:t>
      </w:r>
      <w:r w:rsidRPr="009F75C3">
        <w:rPr>
          <w:rStyle w:val="Siln"/>
          <w:rFonts w:ascii="Calibri" w:hAnsi="Calibri" w:cs="Calibri"/>
          <w:sz w:val="22"/>
          <w:szCs w:val="22"/>
        </w:rPr>
        <w:t>p</w:t>
      </w:r>
      <w:r>
        <w:rPr>
          <w:rStyle w:val="Siln"/>
          <w:rFonts w:ascii="Calibri" w:hAnsi="Calibri" w:cs="Calibri"/>
          <w:sz w:val="22"/>
          <w:szCs w:val="22"/>
        </w:rPr>
        <w:t>odíl nezaměstnaných na pracovní síle</w:t>
      </w:r>
    </w:p>
    <w:p w14:paraId="351428A3" w14:textId="77777777" w:rsidR="00552BD3" w:rsidRDefault="00552BD3" w:rsidP="00552BD3">
      <w:pPr>
        <w:pStyle w:val="Normlnweb"/>
        <w:shd w:val="clear" w:color="auto" w:fill="FFFFFF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9F75C3">
        <w:rPr>
          <w:rFonts w:ascii="Calibri" w:hAnsi="Calibri" w:cs="Calibri"/>
          <w:sz w:val="22"/>
          <w:szCs w:val="22"/>
        </w:rPr>
        <w:t xml:space="preserve">• </w:t>
      </w:r>
      <w:r w:rsidRPr="009F75C3">
        <w:rPr>
          <w:rStyle w:val="Siln"/>
          <w:rFonts w:ascii="Calibri" w:hAnsi="Calibri" w:cs="Calibri"/>
          <w:sz w:val="22"/>
          <w:szCs w:val="22"/>
        </w:rPr>
        <w:t>průměrná měsíční mzda</w:t>
      </w:r>
      <w:r>
        <w:rPr>
          <w:rFonts w:ascii="Calibri" w:hAnsi="Calibri" w:cs="Calibri"/>
          <w:sz w:val="22"/>
          <w:szCs w:val="22"/>
        </w:rPr>
        <w:t xml:space="preserve">; údaj se vztahuje k okresu; čím nižší jsou platy, tím lépe je město hodnoceno </w:t>
      </w:r>
    </w:p>
    <w:p w14:paraId="20ED45E6" w14:textId="77777777" w:rsidR="00552BD3" w:rsidRDefault="00552BD3" w:rsidP="00552BD3">
      <w:pPr>
        <w:pStyle w:val="Normlnweb"/>
        <w:shd w:val="clear" w:color="auto" w:fill="FFFFFF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9A71C5">
        <w:rPr>
          <w:rFonts w:ascii="Calibri" w:hAnsi="Calibri" w:cs="Calibri"/>
          <w:sz w:val="22"/>
          <w:szCs w:val="22"/>
        </w:rPr>
        <w:t xml:space="preserve">• </w:t>
      </w:r>
      <w:r w:rsidRPr="009A71C5">
        <w:rPr>
          <w:rStyle w:val="Siln"/>
          <w:rFonts w:ascii="Calibri" w:hAnsi="Calibri" w:cs="Calibri"/>
          <w:sz w:val="22"/>
          <w:szCs w:val="22"/>
        </w:rPr>
        <w:t>změna počtu obyvatel</w:t>
      </w:r>
      <w:r>
        <w:rPr>
          <w:rFonts w:ascii="Calibri" w:hAnsi="Calibri" w:cs="Calibri"/>
          <w:sz w:val="22"/>
          <w:szCs w:val="22"/>
        </w:rPr>
        <w:t xml:space="preserve"> (celkový přírůstek obyvatel za rok vztažený na 1000 obyvatel); údaj je za celé ORP; čím vyšší je přírůstek obyvatelstva, tím lépe je město hodnoceno</w:t>
      </w:r>
    </w:p>
    <w:p w14:paraId="499F4625" w14:textId="5F238712" w:rsidR="00552BD3" w:rsidRPr="009A71C5" w:rsidRDefault="00552BD3" w:rsidP="00552BD3">
      <w:pPr>
        <w:pStyle w:val="Normlnweb"/>
        <w:shd w:val="clear" w:color="auto" w:fill="FFFFFF"/>
        <w:spacing w:line="360" w:lineRule="auto"/>
        <w:jc w:val="both"/>
        <w:rPr>
          <w:rStyle w:val="Siln"/>
          <w:rFonts w:ascii="Calibri" w:hAnsi="Calibri" w:cs="Calibri"/>
          <w:sz w:val="22"/>
          <w:szCs w:val="22"/>
        </w:rPr>
      </w:pPr>
      <w:r w:rsidRPr="009A71C5">
        <w:rPr>
          <w:rFonts w:ascii="Calibri" w:hAnsi="Calibri" w:cs="Calibri"/>
          <w:sz w:val="22"/>
          <w:szCs w:val="22"/>
        </w:rPr>
        <w:t xml:space="preserve">• </w:t>
      </w:r>
      <w:r w:rsidRPr="009A71C5">
        <w:rPr>
          <w:rStyle w:val="Siln"/>
          <w:rFonts w:ascii="Calibri" w:hAnsi="Calibri" w:cs="Calibri"/>
          <w:sz w:val="22"/>
          <w:szCs w:val="22"/>
        </w:rPr>
        <w:t>počet dokončených bytů na 1000 obyvatel</w:t>
      </w:r>
    </w:p>
    <w:p w14:paraId="7101B532" w14:textId="14074F22" w:rsidR="00552BD3" w:rsidRDefault="00552BD3" w:rsidP="00552BD3">
      <w:pPr>
        <w:pStyle w:val="Normlnweb"/>
        <w:shd w:val="clear" w:color="auto" w:fill="FFFFFF"/>
        <w:spacing w:line="360" w:lineRule="auto"/>
        <w:jc w:val="both"/>
        <w:rPr>
          <w:rStyle w:val="Siln"/>
          <w:rFonts w:ascii="Calibri" w:hAnsi="Calibri" w:cs="Calibri"/>
          <w:sz w:val="22"/>
          <w:szCs w:val="22"/>
        </w:rPr>
      </w:pPr>
      <w:r w:rsidRPr="009A71C5">
        <w:rPr>
          <w:rFonts w:ascii="Calibri" w:hAnsi="Calibri" w:cs="Calibri"/>
          <w:sz w:val="22"/>
          <w:szCs w:val="22"/>
        </w:rPr>
        <w:t xml:space="preserve">• </w:t>
      </w:r>
      <w:r w:rsidRPr="009A71C5">
        <w:rPr>
          <w:rStyle w:val="Siln"/>
          <w:rFonts w:ascii="Calibri" w:hAnsi="Calibri" w:cs="Calibri"/>
          <w:sz w:val="22"/>
          <w:szCs w:val="22"/>
        </w:rPr>
        <w:t>počet dokončených bytů ku změně počtu obyvatel</w:t>
      </w:r>
    </w:p>
    <w:p w14:paraId="73A322B2" w14:textId="3ABA9DF4" w:rsidR="00552BD3" w:rsidRPr="009A71C5" w:rsidRDefault="00552BD3" w:rsidP="00552BD3">
      <w:pPr>
        <w:pStyle w:val="Normlnweb"/>
        <w:shd w:val="clear" w:color="auto" w:fill="FFFFFF"/>
        <w:spacing w:line="360" w:lineRule="auto"/>
        <w:jc w:val="both"/>
        <w:rPr>
          <w:rStyle w:val="Siln"/>
          <w:rFonts w:ascii="Calibri" w:hAnsi="Calibri" w:cs="Calibri"/>
          <w:sz w:val="22"/>
          <w:szCs w:val="22"/>
        </w:rPr>
      </w:pPr>
      <w:r w:rsidRPr="009A71C5">
        <w:rPr>
          <w:rFonts w:ascii="Calibri" w:hAnsi="Calibri" w:cs="Calibri"/>
          <w:sz w:val="22"/>
          <w:szCs w:val="22"/>
        </w:rPr>
        <w:t xml:space="preserve">• </w:t>
      </w:r>
      <w:r w:rsidRPr="009A71C5">
        <w:rPr>
          <w:rStyle w:val="Siln"/>
          <w:rFonts w:ascii="Calibri" w:hAnsi="Calibri" w:cs="Calibri"/>
          <w:sz w:val="22"/>
          <w:szCs w:val="22"/>
        </w:rPr>
        <w:t>počet nabíječek na počet firem</w:t>
      </w:r>
    </w:p>
    <w:p w14:paraId="1D16116B" w14:textId="51FFBDCB" w:rsidR="00552BD3" w:rsidRPr="00646251" w:rsidRDefault="00552BD3" w:rsidP="006D1EA3">
      <w:pPr>
        <w:pStyle w:val="Normlnweb"/>
        <w:shd w:val="clear" w:color="auto" w:fill="FFFFFF"/>
        <w:spacing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9A71C5">
        <w:rPr>
          <w:rFonts w:ascii="Calibri" w:hAnsi="Calibri" w:cs="Calibri"/>
          <w:sz w:val="22"/>
          <w:szCs w:val="22"/>
        </w:rPr>
        <w:t xml:space="preserve">• </w:t>
      </w:r>
      <w:r w:rsidRPr="009A71C5">
        <w:rPr>
          <w:rStyle w:val="Siln"/>
          <w:rFonts w:ascii="Calibri" w:hAnsi="Calibri" w:cs="Calibri"/>
          <w:sz w:val="22"/>
          <w:szCs w:val="22"/>
        </w:rPr>
        <w:t>počet dobíjecích stanic pro elektromobily</w:t>
      </w:r>
    </w:p>
    <w:p w14:paraId="7E52DF1E" w14:textId="77777777" w:rsidR="006D1EA3" w:rsidRDefault="006D1EA3" w:rsidP="006D1EA3">
      <w:pPr>
        <w:pStyle w:val="Normlnweb"/>
        <w:shd w:val="clear" w:color="auto" w:fill="FFFFFF"/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Style w:val="Siln"/>
          <w:rFonts w:ascii="Calibri" w:hAnsi="Calibri" w:cs="Calibri"/>
          <w:sz w:val="22"/>
          <w:szCs w:val="22"/>
        </w:rPr>
        <w:t>2) PŘÍSTUP VEŘEJNÉ SPRÁVY – 13 kritérií (60 % hodnocení)</w:t>
      </w:r>
    </w:p>
    <w:p w14:paraId="4C466E65" w14:textId="77777777" w:rsidR="006D1EA3" w:rsidRDefault="006D1EA3" w:rsidP="006D1EA3">
      <w:pPr>
        <w:pStyle w:val="Normlnweb"/>
        <w:shd w:val="clear" w:color="auto" w:fill="FFFFFF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552BD3">
        <w:rPr>
          <w:rFonts w:ascii="Calibri" w:hAnsi="Calibri" w:cs="Calibri"/>
          <w:sz w:val="22"/>
          <w:szCs w:val="22"/>
        </w:rPr>
        <w:t xml:space="preserve">• </w:t>
      </w:r>
      <w:r w:rsidRPr="00552BD3">
        <w:rPr>
          <w:rStyle w:val="Siln"/>
          <w:rFonts w:ascii="Calibri" w:hAnsi="Calibri" w:cs="Calibri"/>
          <w:sz w:val="22"/>
          <w:szCs w:val="22"/>
        </w:rPr>
        <w:t>kapitálové výdaje</w:t>
      </w:r>
      <w:r>
        <w:rPr>
          <w:rFonts w:ascii="Calibri" w:hAnsi="Calibri" w:cs="Calibri"/>
          <w:sz w:val="22"/>
          <w:szCs w:val="22"/>
        </w:rPr>
        <w:t xml:space="preserve"> (výše uznatelných nákladů dotací z EU přepočtená na počet obyvatel); údaj se vztahuje k hodnocenému městu </w:t>
      </w:r>
    </w:p>
    <w:p w14:paraId="4505F321" w14:textId="77777777" w:rsidR="006D1EA3" w:rsidRDefault="006D1EA3" w:rsidP="006D1EA3">
      <w:pPr>
        <w:pStyle w:val="Normlnweb"/>
        <w:shd w:val="clear" w:color="auto" w:fill="FFFFFF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552BD3">
        <w:rPr>
          <w:rFonts w:ascii="Calibri" w:hAnsi="Calibri" w:cs="Calibri"/>
          <w:sz w:val="22"/>
          <w:szCs w:val="22"/>
        </w:rPr>
        <w:t xml:space="preserve">• </w:t>
      </w:r>
      <w:r w:rsidRPr="00552BD3">
        <w:rPr>
          <w:rStyle w:val="Siln"/>
          <w:rFonts w:ascii="Calibri" w:hAnsi="Calibri" w:cs="Calibri"/>
          <w:sz w:val="22"/>
          <w:szCs w:val="22"/>
        </w:rPr>
        <w:t>výdaje na veřejnou dopravu</w:t>
      </w:r>
      <w:r>
        <w:rPr>
          <w:rFonts w:ascii="Calibri" w:hAnsi="Calibri" w:cs="Calibri"/>
          <w:sz w:val="22"/>
          <w:szCs w:val="22"/>
        </w:rPr>
        <w:t xml:space="preserve"> (roční objem výdajů ze strany obce na veřejnou </w:t>
      </w:r>
      <w:proofErr w:type="gramStart"/>
      <w:r>
        <w:rPr>
          <w:rFonts w:ascii="Calibri" w:hAnsi="Calibri" w:cs="Calibri"/>
          <w:sz w:val="22"/>
          <w:szCs w:val="22"/>
        </w:rPr>
        <w:t>dopravu - objem</w:t>
      </w:r>
      <w:proofErr w:type="gramEnd"/>
      <w:r>
        <w:rPr>
          <w:rFonts w:ascii="Calibri" w:hAnsi="Calibri" w:cs="Calibri"/>
          <w:sz w:val="22"/>
          <w:szCs w:val="22"/>
        </w:rPr>
        <w:t xml:space="preserve"> vlastních výdajů je v rámci </w:t>
      </w:r>
      <w:proofErr w:type="spellStart"/>
      <w:r>
        <w:rPr>
          <w:rFonts w:ascii="Calibri" w:hAnsi="Calibri" w:cs="Calibri"/>
          <w:sz w:val="22"/>
          <w:szCs w:val="22"/>
        </w:rPr>
        <w:t>pořádníku</w:t>
      </w:r>
      <w:proofErr w:type="spellEnd"/>
      <w:r>
        <w:rPr>
          <w:rFonts w:ascii="Calibri" w:hAnsi="Calibri" w:cs="Calibri"/>
          <w:sz w:val="22"/>
          <w:szCs w:val="22"/>
        </w:rPr>
        <w:t xml:space="preserve"> ohodnocen dvojnásobkem této sumy); údaj se vztahuje k hodnocenému městu (data dodala společnost CRIF - Czech </w:t>
      </w:r>
      <w:proofErr w:type="spellStart"/>
      <w:r>
        <w:rPr>
          <w:rFonts w:ascii="Calibri" w:hAnsi="Calibri" w:cs="Calibri"/>
          <w:sz w:val="22"/>
          <w:szCs w:val="22"/>
        </w:rPr>
        <w:t>Credit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Bureau</w:t>
      </w:r>
      <w:proofErr w:type="spellEnd"/>
      <w:r>
        <w:rPr>
          <w:rFonts w:ascii="Calibri" w:hAnsi="Calibri" w:cs="Calibri"/>
          <w:sz w:val="22"/>
          <w:szCs w:val="22"/>
        </w:rPr>
        <w:t xml:space="preserve">) </w:t>
      </w:r>
    </w:p>
    <w:p w14:paraId="104D1C0C" w14:textId="77777777" w:rsidR="006D1EA3" w:rsidRDefault="006D1EA3" w:rsidP="006D1EA3">
      <w:pPr>
        <w:pStyle w:val="Normlnweb"/>
        <w:shd w:val="clear" w:color="auto" w:fill="FFFFFF"/>
        <w:spacing w:line="360" w:lineRule="auto"/>
        <w:jc w:val="both"/>
        <w:rPr>
          <w:rStyle w:val="Siln"/>
          <w:rFonts w:ascii="Calibri" w:hAnsi="Calibri" w:cs="Calibri"/>
          <w:sz w:val="22"/>
          <w:szCs w:val="22"/>
        </w:rPr>
      </w:pPr>
      <w:r w:rsidRPr="00552BD3">
        <w:rPr>
          <w:rFonts w:ascii="Calibri" w:hAnsi="Calibri" w:cs="Calibri"/>
          <w:sz w:val="22"/>
          <w:szCs w:val="22"/>
        </w:rPr>
        <w:lastRenderedPageBreak/>
        <w:t xml:space="preserve">• </w:t>
      </w:r>
      <w:r w:rsidRPr="00552BD3">
        <w:rPr>
          <w:rStyle w:val="Siln"/>
          <w:rFonts w:ascii="Calibri" w:hAnsi="Calibri" w:cs="Calibri"/>
          <w:sz w:val="22"/>
          <w:szCs w:val="22"/>
        </w:rPr>
        <w:t>výdaje na vzdělávání</w:t>
      </w:r>
      <w:r>
        <w:rPr>
          <w:rStyle w:val="Siln"/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(data dodala společnost </w:t>
      </w:r>
      <w:proofErr w:type="gramStart"/>
      <w:r>
        <w:rPr>
          <w:rFonts w:ascii="Calibri" w:hAnsi="Calibri" w:cs="Calibri"/>
          <w:sz w:val="22"/>
          <w:szCs w:val="22"/>
        </w:rPr>
        <w:t>CRIF - Czech</w:t>
      </w:r>
      <w:proofErr w:type="gram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Credit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Bureau</w:t>
      </w:r>
      <w:proofErr w:type="spellEnd"/>
      <w:r>
        <w:rPr>
          <w:rFonts w:ascii="Calibri" w:hAnsi="Calibri" w:cs="Calibri"/>
          <w:sz w:val="22"/>
          <w:szCs w:val="22"/>
        </w:rPr>
        <w:t>)</w:t>
      </w:r>
    </w:p>
    <w:p w14:paraId="7939B0C7" w14:textId="77777777" w:rsidR="006D1EA3" w:rsidRDefault="006D1EA3" w:rsidP="006D1EA3">
      <w:pPr>
        <w:pStyle w:val="Normlnweb"/>
        <w:shd w:val="clear" w:color="auto" w:fill="FFFFFF"/>
        <w:spacing w:line="360" w:lineRule="auto"/>
        <w:jc w:val="both"/>
        <w:rPr>
          <w:rStyle w:val="Siln"/>
          <w:rFonts w:ascii="Calibri" w:hAnsi="Calibri" w:cs="Calibri"/>
          <w:sz w:val="22"/>
          <w:szCs w:val="22"/>
        </w:rPr>
      </w:pPr>
      <w:r w:rsidRPr="00646251">
        <w:rPr>
          <w:rFonts w:ascii="Calibri" w:hAnsi="Calibri" w:cs="Calibri"/>
          <w:sz w:val="22"/>
          <w:szCs w:val="22"/>
        </w:rPr>
        <w:t xml:space="preserve">• </w:t>
      </w:r>
      <w:r w:rsidRPr="00646251">
        <w:rPr>
          <w:rStyle w:val="Siln"/>
          <w:rFonts w:ascii="Calibri" w:hAnsi="Calibri" w:cs="Calibri"/>
          <w:sz w:val="22"/>
          <w:szCs w:val="22"/>
        </w:rPr>
        <w:t>výdaje na bydlení</w:t>
      </w:r>
      <w:r>
        <w:rPr>
          <w:rStyle w:val="Siln"/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(data dodala společnost </w:t>
      </w:r>
      <w:proofErr w:type="gramStart"/>
      <w:r>
        <w:rPr>
          <w:rFonts w:ascii="Calibri" w:hAnsi="Calibri" w:cs="Calibri"/>
          <w:sz w:val="22"/>
          <w:szCs w:val="22"/>
        </w:rPr>
        <w:t>CRIF - Czech</w:t>
      </w:r>
      <w:proofErr w:type="gram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Credit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Bureau</w:t>
      </w:r>
      <w:proofErr w:type="spellEnd"/>
      <w:r>
        <w:rPr>
          <w:rFonts w:ascii="Calibri" w:hAnsi="Calibri" w:cs="Calibri"/>
          <w:sz w:val="22"/>
          <w:szCs w:val="22"/>
        </w:rPr>
        <w:t>)</w:t>
      </w:r>
    </w:p>
    <w:p w14:paraId="353FB9E1" w14:textId="77777777" w:rsidR="006D1EA3" w:rsidRDefault="006D1EA3" w:rsidP="006D1EA3">
      <w:pPr>
        <w:pStyle w:val="Normlnweb"/>
        <w:shd w:val="clear" w:color="auto" w:fill="FFFFFF"/>
        <w:spacing w:line="360" w:lineRule="auto"/>
        <w:jc w:val="both"/>
        <w:rPr>
          <w:rStyle w:val="Siln"/>
          <w:rFonts w:ascii="Calibri" w:hAnsi="Calibri" w:cs="Calibri"/>
          <w:sz w:val="22"/>
          <w:szCs w:val="22"/>
        </w:rPr>
      </w:pPr>
      <w:r w:rsidRPr="00646251">
        <w:rPr>
          <w:rFonts w:ascii="Calibri" w:hAnsi="Calibri" w:cs="Calibri"/>
          <w:sz w:val="22"/>
          <w:szCs w:val="22"/>
        </w:rPr>
        <w:t xml:space="preserve">• </w:t>
      </w:r>
      <w:r w:rsidRPr="00646251">
        <w:rPr>
          <w:rStyle w:val="Siln"/>
          <w:rFonts w:ascii="Calibri" w:hAnsi="Calibri" w:cs="Calibri"/>
          <w:sz w:val="22"/>
          <w:szCs w:val="22"/>
        </w:rPr>
        <w:t>výdaje na sociální péči</w:t>
      </w:r>
      <w:r>
        <w:rPr>
          <w:rStyle w:val="Siln"/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(data dodala společnost </w:t>
      </w:r>
      <w:proofErr w:type="gramStart"/>
      <w:r>
        <w:rPr>
          <w:rFonts w:ascii="Calibri" w:hAnsi="Calibri" w:cs="Calibri"/>
          <w:sz w:val="22"/>
          <w:szCs w:val="22"/>
        </w:rPr>
        <w:t>CRIF - Czech</w:t>
      </w:r>
      <w:proofErr w:type="gram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Credit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Bureau</w:t>
      </w:r>
      <w:proofErr w:type="spellEnd"/>
      <w:r>
        <w:rPr>
          <w:rFonts w:ascii="Calibri" w:hAnsi="Calibri" w:cs="Calibri"/>
          <w:sz w:val="22"/>
          <w:szCs w:val="22"/>
        </w:rPr>
        <w:t>)</w:t>
      </w:r>
    </w:p>
    <w:p w14:paraId="68CAC2AE" w14:textId="77777777" w:rsidR="006D1EA3" w:rsidRDefault="006D1EA3" w:rsidP="006D1EA3">
      <w:pPr>
        <w:pStyle w:val="Normlnweb"/>
        <w:shd w:val="clear" w:color="auto" w:fill="FFFFFF"/>
        <w:spacing w:line="360" w:lineRule="auto"/>
        <w:jc w:val="both"/>
        <w:rPr>
          <w:rStyle w:val="Siln"/>
          <w:rFonts w:ascii="Calibri" w:hAnsi="Calibri" w:cs="Calibri"/>
          <w:sz w:val="22"/>
          <w:szCs w:val="22"/>
        </w:rPr>
      </w:pPr>
      <w:r w:rsidRPr="00646251">
        <w:rPr>
          <w:rFonts w:ascii="Calibri" w:hAnsi="Calibri" w:cs="Calibri"/>
          <w:sz w:val="22"/>
          <w:szCs w:val="22"/>
        </w:rPr>
        <w:t xml:space="preserve">• </w:t>
      </w:r>
      <w:r w:rsidRPr="00646251">
        <w:rPr>
          <w:rStyle w:val="Siln"/>
          <w:rFonts w:ascii="Calibri" w:hAnsi="Calibri" w:cs="Calibri"/>
          <w:sz w:val="22"/>
          <w:szCs w:val="22"/>
        </w:rPr>
        <w:t>výdaje na kulturu</w:t>
      </w:r>
      <w:r>
        <w:rPr>
          <w:rStyle w:val="Siln"/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(data dodala společnost </w:t>
      </w:r>
      <w:proofErr w:type="gramStart"/>
      <w:r>
        <w:rPr>
          <w:rFonts w:ascii="Calibri" w:hAnsi="Calibri" w:cs="Calibri"/>
          <w:sz w:val="22"/>
          <w:szCs w:val="22"/>
        </w:rPr>
        <w:t>CRIF - Czech</w:t>
      </w:r>
      <w:proofErr w:type="gram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Credit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Bureau</w:t>
      </w:r>
      <w:proofErr w:type="spellEnd"/>
      <w:r>
        <w:rPr>
          <w:rFonts w:ascii="Calibri" w:hAnsi="Calibri" w:cs="Calibri"/>
          <w:sz w:val="22"/>
          <w:szCs w:val="22"/>
        </w:rPr>
        <w:t>)</w:t>
      </w:r>
    </w:p>
    <w:p w14:paraId="459B742A" w14:textId="77777777" w:rsidR="006D1EA3" w:rsidRDefault="006D1EA3" w:rsidP="006D1EA3">
      <w:pPr>
        <w:pStyle w:val="Normlnweb"/>
        <w:shd w:val="clear" w:color="auto" w:fill="FFFFFF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646251">
        <w:rPr>
          <w:rFonts w:ascii="Calibri" w:hAnsi="Calibri" w:cs="Calibri"/>
          <w:sz w:val="22"/>
          <w:szCs w:val="22"/>
        </w:rPr>
        <w:t xml:space="preserve">• </w:t>
      </w:r>
      <w:r w:rsidRPr="00646251">
        <w:rPr>
          <w:rStyle w:val="Siln"/>
          <w:rFonts w:ascii="Calibri" w:hAnsi="Calibri" w:cs="Calibri"/>
          <w:sz w:val="22"/>
          <w:szCs w:val="22"/>
        </w:rPr>
        <w:t>výdaje na sport</w:t>
      </w:r>
      <w:r>
        <w:rPr>
          <w:rStyle w:val="Siln"/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(data dodala společnost </w:t>
      </w:r>
      <w:proofErr w:type="gramStart"/>
      <w:r>
        <w:rPr>
          <w:rFonts w:ascii="Calibri" w:hAnsi="Calibri" w:cs="Calibri"/>
          <w:sz w:val="22"/>
          <w:szCs w:val="22"/>
        </w:rPr>
        <w:t>CRIF - Czech</w:t>
      </w:r>
      <w:proofErr w:type="gram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Credit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Bureau</w:t>
      </w:r>
      <w:proofErr w:type="spellEnd"/>
      <w:r>
        <w:rPr>
          <w:rFonts w:ascii="Calibri" w:hAnsi="Calibri" w:cs="Calibri"/>
          <w:sz w:val="22"/>
          <w:szCs w:val="22"/>
        </w:rPr>
        <w:t>)</w:t>
      </w:r>
    </w:p>
    <w:p w14:paraId="77C438C2" w14:textId="77777777" w:rsidR="006D1EA3" w:rsidRDefault="006D1EA3" w:rsidP="006D1EA3">
      <w:pPr>
        <w:pStyle w:val="Normlnweb"/>
        <w:shd w:val="clear" w:color="auto" w:fill="FFFFFF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646251">
        <w:rPr>
          <w:rFonts w:ascii="Calibri" w:hAnsi="Calibri" w:cs="Calibri"/>
          <w:sz w:val="22"/>
          <w:szCs w:val="22"/>
        </w:rPr>
        <w:t>•</w:t>
      </w:r>
      <w:r w:rsidRPr="00646251">
        <w:rPr>
          <w:rStyle w:val="Siln"/>
          <w:rFonts w:ascii="Calibri" w:hAnsi="Calibri" w:cs="Calibri"/>
          <w:sz w:val="22"/>
          <w:szCs w:val="22"/>
        </w:rPr>
        <w:t xml:space="preserve"> likvidita</w:t>
      </w:r>
      <w:r w:rsidRPr="00646251">
        <w:rPr>
          <w:rFonts w:ascii="Calibri" w:hAnsi="Calibri" w:cs="Calibri"/>
          <w:sz w:val="22"/>
          <w:szCs w:val="22"/>
        </w:rPr>
        <w:t>;</w:t>
      </w:r>
      <w:r>
        <w:rPr>
          <w:rFonts w:ascii="Calibri" w:hAnsi="Calibri" w:cs="Calibri"/>
          <w:sz w:val="22"/>
          <w:szCs w:val="22"/>
        </w:rPr>
        <w:t xml:space="preserve"> údaj se vztahuje k hodnocenému městu (data dodala společnost </w:t>
      </w:r>
      <w:proofErr w:type="gramStart"/>
      <w:r>
        <w:rPr>
          <w:rFonts w:ascii="Calibri" w:hAnsi="Calibri" w:cs="Calibri"/>
          <w:sz w:val="22"/>
          <w:szCs w:val="22"/>
        </w:rPr>
        <w:t>CRIF - Czech</w:t>
      </w:r>
      <w:proofErr w:type="gram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Credit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Bureau</w:t>
      </w:r>
      <w:proofErr w:type="spellEnd"/>
      <w:r>
        <w:rPr>
          <w:rFonts w:ascii="Calibri" w:hAnsi="Calibri" w:cs="Calibri"/>
          <w:sz w:val="22"/>
          <w:szCs w:val="22"/>
        </w:rPr>
        <w:t>)</w:t>
      </w:r>
    </w:p>
    <w:p w14:paraId="3DC271F3" w14:textId="7907C358" w:rsidR="006D1EA3" w:rsidRDefault="006D1EA3" w:rsidP="006D1EA3">
      <w:pPr>
        <w:pStyle w:val="Normlnweb"/>
        <w:shd w:val="clear" w:color="auto" w:fill="FFFFFF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646251">
        <w:rPr>
          <w:rFonts w:ascii="Calibri" w:hAnsi="Calibri" w:cs="Calibri"/>
          <w:sz w:val="22"/>
          <w:szCs w:val="22"/>
        </w:rPr>
        <w:t xml:space="preserve">• </w:t>
      </w:r>
      <w:r w:rsidRPr="00646251">
        <w:rPr>
          <w:rStyle w:val="Siln"/>
          <w:rFonts w:ascii="Calibri" w:hAnsi="Calibri" w:cs="Calibri"/>
          <w:sz w:val="22"/>
          <w:szCs w:val="22"/>
        </w:rPr>
        <w:t>dluhová služba / běžné příjmy</w:t>
      </w:r>
      <w:r>
        <w:rPr>
          <w:rFonts w:ascii="Calibri" w:hAnsi="Calibri" w:cs="Calibri"/>
          <w:sz w:val="22"/>
          <w:szCs w:val="22"/>
        </w:rPr>
        <w:t xml:space="preserve">; údaj se vztahuje k hodnocenému městu dluhová služba / běžné příjmy (data dodala společnost </w:t>
      </w:r>
      <w:proofErr w:type="gramStart"/>
      <w:r>
        <w:rPr>
          <w:rFonts w:ascii="Calibri" w:hAnsi="Calibri" w:cs="Calibri"/>
          <w:sz w:val="22"/>
          <w:szCs w:val="22"/>
        </w:rPr>
        <w:t>CRIF - Czech</w:t>
      </w:r>
      <w:proofErr w:type="gram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Credit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Bureau</w:t>
      </w:r>
      <w:proofErr w:type="spellEnd"/>
      <w:r>
        <w:rPr>
          <w:rFonts w:ascii="Calibri" w:hAnsi="Calibri" w:cs="Calibri"/>
          <w:sz w:val="22"/>
          <w:szCs w:val="22"/>
        </w:rPr>
        <w:t>)</w:t>
      </w:r>
    </w:p>
    <w:p w14:paraId="39DE0C31" w14:textId="3761A8ED" w:rsidR="00A860A7" w:rsidRDefault="00A860A7" w:rsidP="006D1EA3">
      <w:pPr>
        <w:pStyle w:val="Normlnweb"/>
        <w:shd w:val="clear" w:color="auto" w:fill="FFFFFF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646251">
        <w:rPr>
          <w:rFonts w:ascii="Calibri" w:hAnsi="Calibri" w:cs="Calibri"/>
          <w:sz w:val="22"/>
          <w:szCs w:val="22"/>
        </w:rPr>
        <w:t xml:space="preserve">• </w:t>
      </w:r>
      <w:r w:rsidRPr="00646251">
        <w:rPr>
          <w:rStyle w:val="Siln"/>
          <w:rFonts w:ascii="Calibri" w:hAnsi="Calibri" w:cs="Calibri"/>
          <w:sz w:val="22"/>
          <w:szCs w:val="22"/>
        </w:rPr>
        <w:t>po</w:t>
      </w:r>
      <w:r>
        <w:rPr>
          <w:rStyle w:val="Siln"/>
          <w:rFonts w:ascii="Calibri" w:hAnsi="Calibri" w:cs="Calibri"/>
          <w:sz w:val="22"/>
          <w:szCs w:val="22"/>
        </w:rPr>
        <w:t>díl dotací na příjmech</w:t>
      </w:r>
    </w:p>
    <w:p w14:paraId="679A3A56" w14:textId="77777777" w:rsidR="006D1EA3" w:rsidRDefault="006D1EA3" w:rsidP="006D1EA3">
      <w:pPr>
        <w:pStyle w:val="Normlnweb"/>
        <w:shd w:val="clear" w:color="auto" w:fill="FFFFFF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646251">
        <w:rPr>
          <w:rFonts w:ascii="Calibri" w:hAnsi="Calibri" w:cs="Calibri"/>
          <w:sz w:val="22"/>
          <w:szCs w:val="22"/>
        </w:rPr>
        <w:t xml:space="preserve">• </w:t>
      </w:r>
      <w:r w:rsidRPr="00646251">
        <w:rPr>
          <w:rStyle w:val="Siln"/>
          <w:rFonts w:ascii="Calibri" w:hAnsi="Calibri" w:cs="Calibri"/>
          <w:sz w:val="22"/>
          <w:szCs w:val="22"/>
        </w:rPr>
        <w:t>podpora webových stránek</w:t>
      </w:r>
      <w:r>
        <w:rPr>
          <w:rStyle w:val="Siln"/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(podpora webových stránek z pohledu podnikatelů); hodnocena je jednoduchost a přehlednost; při hodnocení se zohledňuje samostatná sekce pro podnikatele již na domovské internetové stránce obce, odkaz na formuláře z domovské stránky, počet formulářů a to, zda jsou formuláře uloženy ve formátu DOC nebo PDF; do kritéria podpory webových stránek se hodnotí i umístění a rozsah katalogu místních firem, údaj se vztahuje k hodnocenému městu</w:t>
      </w:r>
    </w:p>
    <w:p w14:paraId="22BCE4E3" w14:textId="77777777" w:rsidR="006D1EA3" w:rsidRDefault="006D1EA3" w:rsidP="006D1EA3">
      <w:pPr>
        <w:pStyle w:val="Normlnweb"/>
        <w:shd w:val="clear" w:color="auto" w:fill="FFFFFF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646251">
        <w:rPr>
          <w:rFonts w:ascii="Calibri" w:hAnsi="Calibri" w:cs="Calibri"/>
          <w:sz w:val="22"/>
          <w:szCs w:val="22"/>
        </w:rPr>
        <w:t xml:space="preserve">• </w:t>
      </w:r>
      <w:r w:rsidRPr="00646251">
        <w:rPr>
          <w:rStyle w:val="Siln"/>
          <w:rFonts w:ascii="Calibri" w:hAnsi="Calibri" w:cs="Calibri"/>
          <w:sz w:val="22"/>
          <w:szCs w:val="22"/>
        </w:rPr>
        <w:t>test elektronické komunikace</w:t>
      </w:r>
      <w:r>
        <w:rPr>
          <w:rFonts w:ascii="Calibri" w:hAnsi="Calibri" w:cs="Calibri"/>
          <w:sz w:val="22"/>
          <w:szCs w:val="22"/>
        </w:rPr>
        <w:t xml:space="preserve"> (rychlost a kvalita odpovědi); údaj se vztahuje k hodnocenému městu</w:t>
      </w:r>
    </w:p>
    <w:p w14:paraId="559BA5F3" w14:textId="74056FF5" w:rsidR="006D1EA3" w:rsidRDefault="006D1EA3" w:rsidP="00245AAB">
      <w:pPr>
        <w:pStyle w:val="Normlnweb"/>
        <w:shd w:val="clear" w:color="auto" w:fill="FFFFFF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646251">
        <w:rPr>
          <w:rFonts w:ascii="Calibri" w:hAnsi="Calibri" w:cs="Calibri"/>
          <w:sz w:val="22"/>
          <w:szCs w:val="22"/>
        </w:rPr>
        <w:t xml:space="preserve">• </w:t>
      </w:r>
      <w:r w:rsidRPr="00646251">
        <w:rPr>
          <w:rStyle w:val="Siln"/>
          <w:rFonts w:ascii="Calibri" w:hAnsi="Calibri" w:cs="Calibri"/>
          <w:sz w:val="22"/>
          <w:szCs w:val="22"/>
        </w:rPr>
        <w:t>úřední hodiny</w:t>
      </w:r>
      <w:r>
        <w:rPr>
          <w:rFonts w:ascii="Calibri" w:hAnsi="Calibri" w:cs="Calibri"/>
          <w:sz w:val="22"/>
          <w:szCs w:val="22"/>
        </w:rPr>
        <w:t xml:space="preserve"> (úřední hodiny </w:t>
      </w:r>
      <w:proofErr w:type="spellStart"/>
      <w:r>
        <w:rPr>
          <w:rFonts w:ascii="Calibri" w:hAnsi="Calibri" w:cs="Calibri"/>
          <w:sz w:val="22"/>
          <w:szCs w:val="22"/>
        </w:rPr>
        <w:t>MěÚ</w:t>
      </w:r>
      <w:proofErr w:type="spellEnd"/>
      <w:r>
        <w:rPr>
          <w:rFonts w:ascii="Calibri" w:hAnsi="Calibri" w:cs="Calibri"/>
          <w:sz w:val="22"/>
          <w:szCs w:val="22"/>
        </w:rPr>
        <w:t xml:space="preserve">); údaj se vztahuje k hodnocenému městu; pokud je počet úředních hodin živnostenského odboru vyšší nežli počet úředních hodin pro celý úřad, započítávají se úřední hodiny živnostenského odboru; při hodnocení se zohledňuje i výzva domluvit si schůzku telefonicky mimo úřední hodiny </w:t>
      </w:r>
    </w:p>
    <w:p w14:paraId="0FA502B7" w14:textId="759A9492" w:rsidR="00245AAB" w:rsidRPr="00245AAB" w:rsidRDefault="00245AAB" w:rsidP="00245AAB">
      <w:pPr>
        <w:pStyle w:val="Normlnweb"/>
        <w:shd w:val="clear" w:color="auto" w:fill="FFFFFF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646251">
        <w:rPr>
          <w:rFonts w:ascii="Calibri" w:hAnsi="Calibri" w:cs="Calibri"/>
          <w:sz w:val="22"/>
          <w:szCs w:val="22"/>
        </w:rPr>
        <w:t xml:space="preserve">• </w:t>
      </w:r>
      <w:r w:rsidRPr="00646251">
        <w:rPr>
          <w:rStyle w:val="Siln"/>
          <w:rFonts w:ascii="Calibri" w:hAnsi="Calibri" w:cs="Calibri"/>
          <w:sz w:val="22"/>
          <w:szCs w:val="22"/>
        </w:rPr>
        <w:t>počet podnikatelů na počet úředních hodin</w:t>
      </w:r>
    </w:p>
    <w:sectPr w:rsidR="00245AAB" w:rsidRPr="00245AAB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466440" w14:textId="77777777" w:rsidR="007E1E77" w:rsidRDefault="007E1E77" w:rsidP="00945811">
      <w:pPr>
        <w:spacing w:after="0" w:line="240" w:lineRule="auto"/>
      </w:pPr>
      <w:r>
        <w:separator/>
      </w:r>
    </w:p>
  </w:endnote>
  <w:endnote w:type="continuationSeparator" w:id="0">
    <w:p w14:paraId="300D356B" w14:textId="77777777" w:rsidR="007E1E77" w:rsidRDefault="007E1E77" w:rsidP="00945811">
      <w:pPr>
        <w:spacing w:after="0" w:line="240" w:lineRule="auto"/>
      </w:pPr>
      <w:r>
        <w:continuationSeparator/>
      </w:r>
    </w:p>
  </w:endnote>
  <w:endnote w:type="continuationNotice" w:id="1">
    <w:p w14:paraId="3FBB1C71" w14:textId="77777777" w:rsidR="007E1E77" w:rsidRDefault="007E1E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notTrueType/>
    <w:pitch w:val="variable"/>
    <w:sig w:usb0="F7FFAFFF" w:usb1="E9DFFFFF" w:usb2="0000003F" w:usb3="00000000" w:csb0="003F01FF" w:csb1="00000000"/>
  </w:font>
  <w:font w:name="HelveticaCE">
    <w:altName w:val="MS Mincho"/>
    <w:panose1 w:val="020B0604020202020204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5721C" w14:textId="3B4EF162" w:rsidR="00945811" w:rsidRDefault="00945811" w:rsidP="00945811">
    <w:pPr>
      <w:pStyle w:val="Zpat"/>
      <w:tabs>
        <w:tab w:val="clear" w:pos="4536"/>
        <w:tab w:val="clear" w:pos="9072"/>
        <w:tab w:val="left" w:pos="5700"/>
      </w:tabs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DE45869" wp14:editId="764B13B6">
          <wp:simplePos x="0" y="0"/>
          <wp:positionH relativeFrom="margin">
            <wp:posOffset>-831215</wp:posOffset>
          </wp:positionH>
          <wp:positionV relativeFrom="paragraph">
            <wp:posOffset>-18415</wp:posOffset>
          </wp:positionV>
          <wp:extent cx="7421880" cy="718783"/>
          <wp:effectExtent l="0" t="0" r="0" b="5715"/>
          <wp:wrapNone/>
          <wp:docPr id="2" name="Obrázek 2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text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8537" cy="736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F65676A" w14:textId="3E56C33B" w:rsidR="00945811" w:rsidRDefault="00945811" w:rsidP="00945811">
    <w:pPr>
      <w:pStyle w:val="Zpat"/>
      <w:tabs>
        <w:tab w:val="left" w:pos="102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D37012" w14:textId="77777777" w:rsidR="007E1E77" w:rsidRDefault="007E1E77" w:rsidP="00945811">
      <w:pPr>
        <w:spacing w:after="0" w:line="240" w:lineRule="auto"/>
      </w:pPr>
      <w:r>
        <w:separator/>
      </w:r>
    </w:p>
  </w:footnote>
  <w:footnote w:type="continuationSeparator" w:id="0">
    <w:p w14:paraId="6ED708FB" w14:textId="77777777" w:rsidR="007E1E77" w:rsidRDefault="007E1E77" w:rsidP="00945811">
      <w:pPr>
        <w:spacing w:after="0" w:line="240" w:lineRule="auto"/>
      </w:pPr>
      <w:r>
        <w:continuationSeparator/>
      </w:r>
    </w:p>
  </w:footnote>
  <w:footnote w:type="continuationNotice" w:id="1">
    <w:p w14:paraId="3B374A94" w14:textId="77777777" w:rsidR="007E1E77" w:rsidRDefault="007E1E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5808C" w14:textId="761909BC" w:rsidR="00945811" w:rsidRDefault="00945811" w:rsidP="00945811">
    <w:pPr>
      <w:pStyle w:val="Zhlav"/>
      <w:jc w:val="center"/>
    </w:pPr>
    <w:r>
      <w:rPr>
        <w:noProof/>
      </w:rPr>
      <w:drawing>
        <wp:inline distT="0" distB="0" distL="0" distR="0" wp14:anchorId="7929E550" wp14:editId="574F347C">
          <wp:extent cx="1615440" cy="836915"/>
          <wp:effectExtent l="0" t="0" r="0" b="0"/>
          <wp:docPr id="3" name="Grafický 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4560" cy="8520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EB95871" w14:textId="77777777" w:rsidR="00945811" w:rsidRDefault="0094581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A44D7D"/>
    <w:multiLevelType w:val="hybridMultilevel"/>
    <w:tmpl w:val="F8C064C6"/>
    <w:lvl w:ilvl="0" w:tplc="99A01C9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F642574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AB437B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50A728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0AE064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3D4415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92368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6A0FDC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5CC068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73961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811"/>
    <w:rsid w:val="00003404"/>
    <w:rsid w:val="0000421D"/>
    <w:rsid w:val="00011D14"/>
    <w:rsid w:val="000125D5"/>
    <w:rsid w:val="00023529"/>
    <w:rsid w:val="00025897"/>
    <w:rsid w:val="0003105F"/>
    <w:rsid w:val="00032BA0"/>
    <w:rsid w:val="000339F5"/>
    <w:rsid w:val="000355C5"/>
    <w:rsid w:val="00037B46"/>
    <w:rsid w:val="00045460"/>
    <w:rsid w:val="000509B8"/>
    <w:rsid w:val="0005168E"/>
    <w:rsid w:val="00072386"/>
    <w:rsid w:val="00080FA2"/>
    <w:rsid w:val="00081202"/>
    <w:rsid w:val="000900D1"/>
    <w:rsid w:val="00092591"/>
    <w:rsid w:val="00095589"/>
    <w:rsid w:val="00096299"/>
    <w:rsid w:val="00097EDA"/>
    <w:rsid w:val="000A55D3"/>
    <w:rsid w:val="000B0387"/>
    <w:rsid w:val="000B44B6"/>
    <w:rsid w:val="000C22BF"/>
    <w:rsid w:val="000C24FC"/>
    <w:rsid w:val="000C2629"/>
    <w:rsid w:val="000C2F1C"/>
    <w:rsid w:val="000D3BCD"/>
    <w:rsid w:val="000D6DA4"/>
    <w:rsid w:val="000E1375"/>
    <w:rsid w:val="00101D2D"/>
    <w:rsid w:val="00104E40"/>
    <w:rsid w:val="00105AAB"/>
    <w:rsid w:val="001139D5"/>
    <w:rsid w:val="001205A4"/>
    <w:rsid w:val="001214C1"/>
    <w:rsid w:val="001256B9"/>
    <w:rsid w:val="001276B7"/>
    <w:rsid w:val="00134E5D"/>
    <w:rsid w:val="00136793"/>
    <w:rsid w:val="001434B8"/>
    <w:rsid w:val="00144E27"/>
    <w:rsid w:val="001468E8"/>
    <w:rsid w:val="0015341E"/>
    <w:rsid w:val="0016789E"/>
    <w:rsid w:val="00170E04"/>
    <w:rsid w:val="00177625"/>
    <w:rsid w:val="00181C53"/>
    <w:rsid w:val="001829DF"/>
    <w:rsid w:val="00183391"/>
    <w:rsid w:val="00190AC6"/>
    <w:rsid w:val="0019232C"/>
    <w:rsid w:val="0019503C"/>
    <w:rsid w:val="001971D4"/>
    <w:rsid w:val="001A038A"/>
    <w:rsid w:val="001A2B8B"/>
    <w:rsid w:val="001A3CF2"/>
    <w:rsid w:val="001A432A"/>
    <w:rsid w:val="001C10A0"/>
    <w:rsid w:val="001C1BD3"/>
    <w:rsid w:val="001D032B"/>
    <w:rsid w:val="001D0799"/>
    <w:rsid w:val="001D3E4C"/>
    <w:rsid w:val="001D5AEB"/>
    <w:rsid w:val="001D6CCA"/>
    <w:rsid w:val="001E1A1E"/>
    <w:rsid w:val="001E1ECA"/>
    <w:rsid w:val="001E3ADF"/>
    <w:rsid w:val="001E745A"/>
    <w:rsid w:val="001F14D8"/>
    <w:rsid w:val="001F2379"/>
    <w:rsid w:val="001F4509"/>
    <w:rsid w:val="00201E69"/>
    <w:rsid w:val="002035F8"/>
    <w:rsid w:val="00204B98"/>
    <w:rsid w:val="0020656A"/>
    <w:rsid w:val="002068FB"/>
    <w:rsid w:val="00225935"/>
    <w:rsid w:val="00227614"/>
    <w:rsid w:val="00230E53"/>
    <w:rsid w:val="002339FA"/>
    <w:rsid w:val="00245AAB"/>
    <w:rsid w:val="00250642"/>
    <w:rsid w:val="00255765"/>
    <w:rsid w:val="00255D08"/>
    <w:rsid w:val="002602EA"/>
    <w:rsid w:val="00265C67"/>
    <w:rsid w:val="00274E97"/>
    <w:rsid w:val="0027592E"/>
    <w:rsid w:val="002818DA"/>
    <w:rsid w:val="00282C36"/>
    <w:rsid w:val="002905DE"/>
    <w:rsid w:val="002A669B"/>
    <w:rsid w:val="002B1410"/>
    <w:rsid w:val="002B33AC"/>
    <w:rsid w:val="002B3EB3"/>
    <w:rsid w:val="002B69D7"/>
    <w:rsid w:val="002C0AB0"/>
    <w:rsid w:val="002C1B27"/>
    <w:rsid w:val="002C1CF8"/>
    <w:rsid w:val="002C3553"/>
    <w:rsid w:val="002C4EFA"/>
    <w:rsid w:val="002C5185"/>
    <w:rsid w:val="002C5B87"/>
    <w:rsid w:val="002D1D72"/>
    <w:rsid w:val="002D3208"/>
    <w:rsid w:val="002D672B"/>
    <w:rsid w:val="002F32CA"/>
    <w:rsid w:val="002F61B0"/>
    <w:rsid w:val="002F67D4"/>
    <w:rsid w:val="00304255"/>
    <w:rsid w:val="0030442F"/>
    <w:rsid w:val="00304B92"/>
    <w:rsid w:val="003101A2"/>
    <w:rsid w:val="0031232C"/>
    <w:rsid w:val="00312805"/>
    <w:rsid w:val="00312884"/>
    <w:rsid w:val="00322572"/>
    <w:rsid w:val="003268D3"/>
    <w:rsid w:val="0032747A"/>
    <w:rsid w:val="00327C7E"/>
    <w:rsid w:val="00336006"/>
    <w:rsid w:val="0034131C"/>
    <w:rsid w:val="003607DB"/>
    <w:rsid w:val="003706C2"/>
    <w:rsid w:val="003739CA"/>
    <w:rsid w:val="00383654"/>
    <w:rsid w:val="00390EF9"/>
    <w:rsid w:val="00392E42"/>
    <w:rsid w:val="003978F4"/>
    <w:rsid w:val="003A0730"/>
    <w:rsid w:val="003A2011"/>
    <w:rsid w:val="003A41A6"/>
    <w:rsid w:val="003B12DD"/>
    <w:rsid w:val="003C31E8"/>
    <w:rsid w:val="003C3626"/>
    <w:rsid w:val="003C414B"/>
    <w:rsid w:val="003C53A0"/>
    <w:rsid w:val="003C60FD"/>
    <w:rsid w:val="003E1169"/>
    <w:rsid w:val="003E418C"/>
    <w:rsid w:val="003E7F0C"/>
    <w:rsid w:val="003F1693"/>
    <w:rsid w:val="003F2007"/>
    <w:rsid w:val="003F369D"/>
    <w:rsid w:val="003F472B"/>
    <w:rsid w:val="003F60A0"/>
    <w:rsid w:val="003F671C"/>
    <w:rsid w:val="00403D9B"/>
    <w:rsid w:val="00403EA3"/>
    <w:rsid w:val="00412F4B"/>
    <w:rsid w:val="004205FA"/>
    <w:rsid w:val="00421F22"/>
    <w:rsid w:val="004220FE"/>
    <w:rsid w:val="00424B45"/>
    <w:rsid w:val="00430437"/>
    <w:rsid w:val="00433166"/>
    <w:rsid w:val="004341B9"/>
    <w:rsid w:val="00436937"/>
    <w:rsid w:val="00442F51"/>
    <w:rsid w:val="0045306C"/>
    <w:rsid w:val="00456171"/>
    <w:rsid w:val="00456CD4"/>
    <w:rsid w:val="00457346"/>
    <w:rsid w:val="004576DD"/>
    <w:rsid w:val="00461137"/>
    <w:rsid w:val="0046482C"/>
    <w:rsid w:val="004662FF"/>
    <w:rsid w:val="004672B2"/>
    <w:rsid w:val="004723C6"/>
    <w:rsid w:val="00475F31"/>
    <w:rsid w:val="00476308"/>
    <w:rsid w:val="00476E17"/>
    <w:rsid w:val="004813DF"/>
    <w:rsid w:val="00482C25"/>
    <w:rsid w:val="00482D0E"/>
    <w:rsid w:val="00484FD3"/>
    <w:rsid w:val="00486659"/>
    <w:rsid w:val="00487E1A"/>
    <w:rsid w:val="004901B0"/>
    <w:rsid w:val="00490F27"/>
    <w:rsid w:val="00491125"/>
    <w:rsid w:val="00493325"/>
    <w:rsid w:val="00493B1A"/>
    <w:rsid w:val="004A1BE3"/>
    <w:rsid w:val="004A22B3"/>
    <w:rsid w:val="004A3565"/>
    <w:rsid w:val="004A3CE6"/>
    <w:rsid w:val="004B07B9"/>
    <w:rsid w:val="004B6722"/>
    <w:rsid w:val="004B6878"/>
    <w:rsid w:val="004C08A1"/>
    <w:rsid w:val="004C25F8"/>
    <w:rsid w:val="004C53A0"/>
    <w:rsid w:val="004D1F6A"/>
    <w:rsid w:val="004D314A"/>
    <w:rsid w:val="004E0D69"/>
    <w:rsid w:val="004E22B5"/>
    <w:rsid w:val="004E48CE"/>
    <w:rsid w:val="004E7147"/>
    <w:rsid w:val="004E7AFE"/>
    <w:rsid w:val="004F0896"/>
    <w:rsid w:val="004F617D"/>
    <w:rsid w:val="004F6CFE"/>
    <w:rsid w:val="00501A6B"/>
    <w:rsid w:val="0051195F"/>
    <w:rsid w:val="00515A2D"/>
    <w:rsid w:val="00517B82"/>
    <w:rsid w:val="005218CB"/>
    <w:rsid w:val="0053181C"/>
    <w:rsid w:val="00536A03"/>
    <w:rsid w:val="00541976"/>
    <w:rsid w:val="00552BD3"/>
    <w:rsid w:val="005600CE"/>
    <w:rsid w:val="00575E3A"/>
    <w:rsid w:val="00577804"/>
    <w:rsid w:val="00581E06"/>
    <w:rsid w:val="005A4D3C"/>
    <w:rsid w:val="005A5540"/>
    <w:rsid w:val="005C0413"/>
    <w:rsid w:val="005C2B19"/>
    <w:rsid w:val="005D4653"/>
    <w:rsid w:val="005E436A"/>
    <w:rsid w:val="005E6750"/>
    <w:rsid w:val="005E7863"/>
    <w:rsid w:val="005F1FDC"/>
    <w:rsid w:val="006004C4"/>
    <w:rsid w:val="006066A8"/>
    <w:rsid w:val="006108D8"/>
    <w:rsid w:val="00610C8B"/>
    <w:rsid w:val="006123A9"/>
    <w:rsid w:val="006132F6"/>
    <w:rsid w:val="0061458D"/>
    <w:rsid w:val="00614A63"/>
    <w:rsid w:val="00623502"/>
    <w:rsid w:val="00623AC9"/>
    <w:rsid w:val="00624EA6"/>
    <w:rsid w:val="00632A43"/>
    <w:rsid w:val="0063364C"/>
    <w:rsid w:val="00636C61"/>
    <w:rsid w:val="00644B61"/>
    <w:rsid w:val="0064594D"/>
    <w:rsid w:val="00646251"/>
    <w:rsid w:val="00655304"/>
    <w:rsid w:val="0066183C"/>
    <w:rsid w:val="00663A49"/>
    <w:rsid w:val="00673D61"/>
    <w:rsid w:val="00673F21"/>
    <w:rsid w:val="006821F0"/>
    <w:rsid w:val="006864C7"/>
    <w:rsid w:val="0069159D"/>
    <w:rsid w:val="00691AEB"/>
    <w:rsid w:val="00696AB6"/>
    <w:rsid w:val="00697906"/>
    <w:rsid w:val="006A09F8"/>
    <w:rsid w:val="006A2137"/>
    <w:rsid w:val="006A329B"/>
    <w:rsid w:val="006A39E5"/>
    <w:rsid w:val="006C5CDA"/>
    <w:rsid w:val="006D099E"/>
    <w:rsid w:val="006D1EA3"/>
    <w:rsid w:val="006D660F"/>
    <w:rsid w:val="006E339D"/>
    <w:rsid w:val="006E581F"/>
    <w:rsid w:val="006E68C1"/>
    <w:rsid w:val="006E7D6A"/>
    <w:rsid w:val="007027F4"/>
    <w:rsid w:val="00704FE1"/>
    <w:rsid w:val="007065DC"/>
    <w:rsid w:val="007128E2"/>
    <w:rsid w:val="00716916"/>
    <w:rsid w:val="00716CE1"/>
    <w:rsid w:val="007214E3"/>
    <w:rsid w:val="00725E82"/>
    <w:rsid w:val="00732E0B"/>
    <w:rsid w:val="00763443"/>
    <w:rsid w:val="007717B3"/>
    <w:rsid w:val="007750D1"/>
    <w:rsid w:val="007759F6"/>
    <w:rsid w:val="0077739F"/>
    <w:rsid w:val="007826DC"/>
    <w:rsid w:val="00791515"/>
    <w:rsid w:val="00791DF4"/>
    <w:rsid w:val="00796069"/>
    <w:rsid w:val="00797E04"/>
    <w:rsid w:val="00797E69"/>
    <w:rsid w:val="007A0DC0"/>
    <w:rsid w:val="007A18B9"/>
    <w:rsid w:val="007C40AF"/>
    <w:rsid w:val="007C63CE"/>
    <w:rsid w:val="007C76E8"/>
    <w:rsid w:val="007D7CF8"/>
    <w:rsid w:val="007E0E19"/>
    <w:rsid w:val="007E1E77"/>
    <w:rsid w:val="007E3752"/>
    <w:rsid w:val="007E62D2"/>
    <w:rsid w:val="007F4BC6"/>
    <w:rsid w:val="008003BD"/>
    <w:rsid w:val="008015E3"/>
    <w:rsid w:val="00806660"/>
    <w:rsid w:val="00810C9C"/>
    <w:rsid w:val="008142CF"/>
    <w:rsid w:val="008175EA"/>
    <w:rsid w:val="0082126E"/>
    <w:rsid w:val="00821D58"/>
    <w:rsid w:val="008275F6"/>
    <w:rsid w:val="00830033"/>
    <w:rsid w:val="008325FB"/>
    <w:rsid w:val="0083294A"/>
    <w:rsid w:val="00833EA5"/>
    <w:rsid w:val="0083414A"/>
    <w:rsid w:val="00834729"/>
    <w:rsid w:val="008347C0"/>
    <w:rsid w:val="00844239"/>
    <w:rsid w:val="0084603C"/>
    <w:rsid w:val="00853977"/>
    <w:rsid w:val="00861117"/>
    <w:rsid w:val="008638EA"/>
    <w:rsid w:val="00870253"/>
    <w:rsid w:val="00876109"/>
    <w:rsid w:val="0088131B"/>
    <w:rsid w:val="00894D93"/>
    <w:rsid w:val="008A26AB"/>
    <w:rsid w:val="008A738C"/>
    <w:rsid w:val="008A7F77"/>
    <w:rsid w:val="008B25ED"/>
    <w:rsid w:val="008B66C4"/>
    <w:rsid w:val="008C00AC"/>
    <w:rsid w:val="008C7386"/>
    <w:rsid w:val="008E75CB"/>
    <w:rsid w:val="008F2458"/>
    <w:rsid w:val="008F4FB2"/>
    <w:rsid w:val="00900FC1"/>
    <w:rsid w:val="0090227D"/>
    <w:rsid w:val="00904020"/>
    <w:rsid w:val="00906128"/>
    <w:rsid w:val="0090633B"/>
    <w:rsid w:val="00917C8A"/>
    <w:rsid w:val="00923287"/>
    <w:rsid w:val="00925F15"/>
    <w:rsid w:val="0093075E"/>
    <w:rsid w:val="009320F6"/>
    <w:rsid w:val="009377C8"/>
    <w:rsid w:val="00940436"/>
    <w:rsid w:val="009426B1"/>
    <w:rsid w:val="00944505"/>
    <w:rsid w:val="00945228"/>
    <w:rsid w:val="00945811"/>
    <w:rsid w:val="00961E9B"/>
    <w:rsid w:val="0097077F"/>
    <w:rsid w:val="00971232"/>
    <w:rsid w:val="0097144B"/>
    <w:rsid w:val="0097566E"/>
    <w:rsid w:val="00976E76"/>
    <w:rsid w:val="00981831"/>
    <w:rsid w:val="00981A29"/>
    <w:rsid w:val="00983F9A"/>
    <w:rsid w:val="00984023"/>
    <w:rsid w:val="0098448D"/>
    <w:rsid w:val="00985FFB"/>
    <w:rsid w:val="00995D7C"/>
    <w:rsid w:val="009A2933"/>
    <w:rsid w:val="009A2BD8"/>
    <w:rsid w:val="009A2D3E"/>
    <w:rsid w:val="009A33C5"/>
    <w:rsid w:val="009A4551"/>
    <w:rsid w:val="009B0F10"/>
    <w:rsid w:val="009B13D0"/>
    <w:rsid w:val="009C0AC6"/>
    <w:rsid w:val="009C3019"/>
    <w:rsid w:val="009C41EF"/>
    <w:rsid w:val="009D7971"/>
    <w:rsid w:val="009E4B8D"/>
    <w:rsid w:val="009F14BD"/>
    <w:rsid w:val="009F301D"/>
    <w:rsid w:val="009F75C3"/>
    <w:rsid w:val="00A02305"/>
    <w:rsid w:val="00A176AC"/>
    <w:rsid w:val="00A21C13"/>
    <w:rsid w:val="00A250ED"/>
    <w:rsid w:val="00A25C2E"/>
    <w:rsid w:val="00A30062"/>
    <w:rsid w:val="00A362AB"/>
    <w:rsid w:val="00A4139C"/>
    <w:rsid w:val="00A4279F"/>
    <w:rsid w:val="00A43AE6"/>
    <w:rsid w:val="00A470D4"/>
    <w:rsid w:val="00A50BDD"/>
    <w:rsid w:val="00A5117E"/>
    <w:rsid w:val="00A5136D"/>
    <w:rsid w:val="00A551E6"/>
    <w:rsid w:val="00A63735"/>
    <w:rsid w:val="00A735C2"/>
    <w:rsid w:val="00A775C0"/>
    <w:rsid w:val="00A81200"/>
    <w:rsid w:val="00A81591"/>
    <w:rsid w:val="00A860A7"/>
    <w:rsid w:val="00A86710"/>
    <w:rsid w:val="00A903B6"/>
    <w:rsid w:val="00A91520"/>
    <w:rsid w:val="00A954BC"/>
    <w:rsid w:val="00AA5E08"/>
    <w:rsid w:val="00AA5FD1"/>
    <w:rsid w:val="00AC0FB9"/>
    <w:rsid w:val="00AC315C"/>
    <w:rsid w:val="00AC42E2"/>
    <w:rsid w:val="00AC4AE9"/>
    <w:rsid w:val="00AC6834"/>
    <w:rsid w:val="00AD1E36"/>
    <w:rsid w:val="00AD4F50"/>
    <w:rsid w:val="00AE3761"/>
    <w:rsid w:val="00AF0FC5"/>
    <w:rsid w:val="00B123D8"/>
    <w:rsid w:val="00B1618C"/>
    <w:rsid w:val="00B3162C"/>
    <w:rsid w:val="00B36B30"/>
    <w:rsid w:val="00B52370"/>
    <w:rsid w:val="00B57E89"/>
    <w:rsid w:val="00B6176B"/>
    <w:rsid w:val="00B64F5C"/>
    <w:rsid w:val="00B65842"/>
    <w:rsid w:val="00B660B5"/>
    <w:rsid w:val="00B70C7C"/>
    <w:rsid w:val="00B71785"/>
    <w:rsid w:val="00B75721"/>
    <w:rsid w:val="00B84523"/>
    <w:rsid w:val="00B850B3"/>
    <w:rsid w:val="00B90371"/>
    <w:rsid w:val="00B927C0"/>
    <w:rsid w:val="00BA350D"/>
    <w:rsid w:val="00BA6E4D"/>
    <w:rsid w:val="00BB0BC9"/>
    <w:rsid w:val="00BB1405"/>
    <w:rsid w:val="00BD5766"/>
    <w:rsid w:val="00BD6E2D"/>
    <w:rsid w:val="00BD7E47"/>
    <w:rsid w:val="00BE0815"/>
    <w:rsid w:val="00BE5534"/>
    <w:rsid w:val="00BE60CE"/>
    <w:rsid w:val="00C0625D"/>
    <w:rsid w:val="00C067D0"/>
    <w:rsid w:val="00C14889"/>
    <w:rsid w:val="00C16086"/>
    <w:rsid w:val="00C17853"/>
    <w:rsid w:val="00C20943"/>
    <w:rsid w:val="00C21E88"/>
    <w:rsid w:val="00C23ECC"/>
    <w:rsid w:val="00C27476"/>
    <w:rsid w:val="00C311FE"/>
    <w:rsid w:val="00C33768"/>
    <w:rsid w:val="00C410B1"/>
    <w:rsid w:val="00C42A1B"/>
    <w:rsid w:val="00C52758"/>
    <w:rsid w:val="00C52AED"/>
    <w:rsid w:val="00C53332"/>
    <w:rsid w:val="00C57ADB"/>
    <w:rsid w:val="00C62B27"/>
    <w:rsid w:val="00C77D54"/>
    <w:rsid w:val="00C81CF7"/>
    <w:rsid w:val="00C83BE1"/>
    <w:rsid w:val="00C84196"/>
    <w:rsid w:val="00C8561E"/>
    <w:rsid w:val="00C85ADE"/>
    <w:rsid w:val="00C90A49"/>
    <w:rsid w:val="00CA0FC8"/>
    <w:rsid w:val="00CA4E6D"/>
    <w:rsid w:val="00CB2C4B"/>
    <w:rsid w:val="00CB5464"/>
    <w:rsid w:val="00CB6E18"/>
    <w:rsid w:val="00CC1AD1"/>
    <w:rsid w:val="00CC4C65"/>
    <w:rsid w:val="00CD12D2"/>
    <w:rsid w:val="00CD157D"/>
    <w:rsid w:val="00CD225A"/>
    <w:rsid w:val="00CD442D"/>
    <w:rsid w:val="00CD6220"/>
    <w:rsid w:val="00CE34D9"/>
    <w:rsid w:val="00CF4065"/>
    <w:rsid w:val="00CF51E2"/>
    <w:rsid w:val="00CF52B7"/>
    <w:rsid w:val="00D03A18"/>
    <w:rsid w:val="00D10E58"/>
    <w:rsid w:val="00D12ABE"/>
    <w:rsid w:val="00D17F83"/>
    <w:rsid w:val="00D268F7"/>
    <w:rsid w:val="00D31F22"/>
    <w:rsid w:val="00D32CA3"/>
    <w:rsid w:val="00D43199"/>
    <w:rsid w:val="00D43F20"/>
    <w:rsid w:val="00D50BDD"/>
    <w:rsid w:val="00D51412"/>
    <w:rsid w:val="00D559CA"/>
    <w:rsid w:val="00D560DE"/>
    <w:rsid w:val="00D56FE5"/>
    <w:rsid w:val="00D573BF"/>
    <w:rsid w:val="00D6574F"/>
    <w:rsid w:val="00D663F7"/>
    <w:rsid w:val="00D66AF0"/>
    <w:rsid w:val="00D7574C"/>
    <w:rsid w:val="00D80BDE"/>
    <w:rsid w:val="00D8396D"/>
    <w:rsid w:val="00D8666D"/>
    <w:rsid w:val="00D87F6D"/>
    <w:rsid w:val="00D9080F"/>
    <w:rsid w:val="00D948DB"/>
    <w:rsid w:val="00D94A1B"/>
    <w:rsid w:val="00D9502A"/>
    <w:rsid w:val="00D97FBE"/>
    <w:rsid w:val="00DB08B4"/>
    <w:rsid w:val="00DB1DAA"/>
    <w:rsid w:val="00DB2BC6"/>
    <w:rsid w:val="00DC34B9"/>
    <w:rsid w:val="00DC576C"/>
    <w:rsid w:val="00DD1F7C"/>
    <w:rsid w:val="00DD2E9B"/>
    <w:rsid w:val="00DD5FBD"/>
    <w:rsid w:val="00DD62B4"/>
    <w:rsid w:val="00DD742B"/>
    <w:rsid w:val="00DD7DA4"/>
    <w:rsid w:val="00DF07B4"/>
    <w:rsid w:val="00DF1DAA"/>
    <w:rsid w:val="00E06BEF"/>
    <w:rsid w:val="00E1330D"/>
    <w:rsid w:val="00E14F39"/>
    <w:rsid w:val="00E15FD1"/>
    <w:rsid w:val="00E20B3C"/>
    <w:rsid w:val="00E30BF2"/>
    <w:rsid w:val="00E315BD"/>
    <w:rsid w:val="00E321D4"/>
    <w:rsid w:val="00E3329F"/>
    <w:rsid w:val="00E33F02"/>
    <w:rsid w:val="00E42ACA"/>
    <w:rsid w:val="00E475E4"/>
    <w:rsid w:val="00E6075F"/>
    <w:rsid w:val="00E61704"/>
    <w:rsid w:val="00E700D5"/>
    <w:rsid w:val="00E7252E"/>
    <w:rsid w:val="00E76B18"/>
    <w:rsid w:val="00E77A31"/>
    <w:rsid w:val="00E80EFC"/>
    <w:rsid w:val="00E85560"/>
    <w:rsid w:val="00E92523"/>
    <w:rsid w:val="00E9646D"/>
    <w:rsid w:val="00EA117E"/>
    <w:rsid w:val="00EA373F"/>
    <w:rsid w:val="00EA6051"/>
    <w:rsid w:val="00EB6E2D"/>
    <w:rsid w:val="00EC4F44"/>
    <w:rsid w:val="00ED329F"/>
    <w:rsid w:val="00ED3DF5"/>
    <w:rsid w:val="00EE183F"/>
    <w:rsid w:val="00EE3642"/>
    <w:rsid w:val="00EE4B4E"/>
    <w:rsid w:val="00EE733F"/>
    <w:rsid w:val="00EF058A"/>
    <w:rsid w:val="00EF0647"/>
    <w:rsid w:val="00EF1DA6"/>
    <w:rsid w:val="00EF2834"/>
    <w:rsid w:val="00EF3F05"/>
    <w:rsid w:val="00EF5349"/>
    <w:rsid w:val="00EF5BE4"/>
    <w:rsid w:val="00F00532"/>
    <w:rsid w:val="00F0059B"/>
    <w:rsid w:val="00F06FE8"/>
    <w:rsid w:val="00F14F47"/>
    <w:rsid w:val="00F31FEF"/>
    <w:rsid w:val="00F33737"/>
    <w:rsid w:val="00F37155"/>
    <w:rsid w:val="00F41F97"/>
    <w:rsid w:val="00F44B29"/>
    <w:rsid w:val="00F54982"/>
    <w:rsid w:val="00F57236"/>
    <w:rsid w:val="00F6156F"/>
    <w:rsid w:val="00F618C3"/>
    <w:rsid w:val="00F6216E"/>
    <w:rsid w:val="00F629E6"/>
    <w:rsid w:val="00F675DA"/>
    <w:rsid w:val="00F73171"/>
    <w:rsid w:val="00F7420C"/>
    <w:rsid w:val="00F75242"/>
    <w:rsid w:val="00F77250"/>
    <w:rsid w:val="00F8214E"/>
    <w:rsid w:val="00F82C30"/>
    <w:rsid w:val="00F8562A"/>
    <w:rsid w:val="00F94B7E"/>
    <w:rsid w:val="00FB61C1"/>
    <w:rsid w:val="00FC00CF"/>
    <w:rsid w:val="00FC1FD2"/>
    <w:rsid w:val="00FC22DF"/>
    <w:rsid w:val="00FC291E"/>
    <w:rsid w:val="00FD585F"/>
    <w:rsid w:val="00FE49FB"/>
    <w:rsid w:val="00FE6CAE"/>
    <w:rsid w:val="00FF5E87"/>
    <w:rsid w:val="00FF6D68"/>
    <w:rsid w:val="00FF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A5EB48"/>
  <w15:chartTrackingRefBased/>
  <w15:docId w15:val="{7022805D-2E27-41A2-9EE2-B36D670FB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362AB"/>
    <w:pPr>
      <w:spacing w:after="200" w:line="276" w:lineRule="auto"/>
    </w:pPr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45811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945811"/>
  </w:style>
  <w:style w:type="paragraph" w:styleId="Zpat">
    <w:name w:val="footer"/>
    <w:basedOn w:val="Normln"/>
    <w:link w:val="ZpatChar"/>
    <w:uiPriority w:val="99"/>
    <w:unhideWhenUsed/>
    <w:rsid w:val="00945811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945811"/>
  </w:style>
  <w:style w:type="character" w:styleId="Hypertextovodkaz">
    <w:name w:val="Hyperlink"/>
    <w:uiPriority w:val="99"/>
    <w:unhideWhenUsed/>
    <w:rsid w:val="00A362AB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A362AB"/>
    <w:rPr>
      <w:b/>
      <w:bCs/>
    </w:rPr>
  </w:style>
  <w:style w:type="table" w:customStyle="1" w:styleId="Styl1">
    <w:name w:val="Styl1"/>
    <w:basedOn w:val="Normlntabulka"/>
    <w:uiPriority w:val="99"/>
    <w:rsid w:val="00821D58"/>
    <w:pPr>
      <w:spacing w:after="0" w:line="240" w:lineRule="auto"/>
    </w:pPr>
    <w:tblPr/>
  </w:style>
  <w:style w:type="table" w:styleId="Tabulkasmkou4zvraznn6">
    <w:name w:val="Grid Table 4 Accent 6"/>
    <w:basedOn w:val="Normlntabulka"/>
    <w:uiPriority w:val="49"/>
    <w:rsid w:val="00F8214E"/>
    <w:pPr>
      <w:spacing w:after="0" w:line="240" w:lineRule="auto"/>
    </w:pPr>
    <w:tblPr>
      <w:tblStyleRowBandSize w:val="1"/>
      <w:tblStyleColBandSize w:val="1"/>
      <w:tblBorders>
        <w:top w:val="single" w:sz="4" w:space="0" w:color="808080" w:themeColor="background1" w:themeShade="80"/>
        <w:left w:val="single" w:sz="4" w:space="0" w:color="808080" w:themeColor="background1" w:themeShade="80"/>
        <w:bottom w:val="single" w:sz="4" w:space="0" w:color="808080" w:themeColor="background1" w:themeShade="80"/>
        <w:right w:val="single" w:sz="4" w:space="0" w:color="808080" w:themeColor="background1" w:themeShade="80"/>
        <w:insideH w:val="single" w:sz="4" w:space="0" w:color="808080" w:themeColor="background1" w:themeShade="80"/>
        <w:insideV w:val="single" w:sz="4" w:space="0" w:color="808080" w:themeColor="background1" w:themeShade="8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Styl2">
    <w:name w:val="Styl2"/>
    <w:basedOn w:val="Normlntabulka"/>
    <w:uiPriority w:val="99"/>
    <w:rsid w:val="00A91520"/>
    <w:pPr>
      <w:spacing w:after="0" w:line="240" w:lineRule="auto"/>
    </w:pPr>
    <w:tblPr/>
  </w:style>
  <w:style w:type="table" w:styleId="Tabulkaseznamu4zvraznn3">
    <w:name w:val="List Table 4 Accent 3"/>
    <w:basedOn w:val="Normlntabulka"/>
    <w:uiPriority w:val="49"/>
    <w:rsid w:val="004672B2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Normlnweb">
    <w:name w:val="Normal (Web)"/>
    <w:basedOn w:val="Normln"/>
    <w:uiPriority w:val="99"/>
    <w:unhideWhenUsed/>
    <w:rsid w:val="006D1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styleId="Odstavecseseznamem">
    <w:name w:val="List Paragraph"/>
    <w:basedOn w:val="Normln"/>
    <w:uiPriority w:val="34"/>
    <w:qFormat/>
    <w:rsid w:val="00C62B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66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4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7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david.pavlat@communa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FF52DC153CD3A4692FE74F6B635A839" ma:contentTypeVersion="16" ma:contentTypeDescription="Vytvoří nový dokument" ma:contentTypeScope="" ma:versionID="8f29eefccb58b9ed38b54f2ecc6cbdc5">
  <xsd:schema xmlns:xsd="http://www.w3.org/2001/XMLSchema" xmlns:xs="http://www.w3.org/2001/XMLSchema" xmlns:p="http://schemas.microsoft.com/office/2006/metadata/properties" xmlns:ns2="089f2e5f-2d1f-4a29-a037-75f72a16df99" xmlns:ns3="67127170-065a-4910-bf80-0f16f7033ca5" targetNamespace="http://schemas.microsoft.com/office/2006/metadata/properties" ma:root="true" ma:fieldsID="8d7382d5b19105d91c65717721b228a9" ns2:_="" ns3:_="">
    <xsd:import namespace="089f2e5f-2d1f-4a29-a037-75f72a16df99"/>
    <xsd:import namespace="67127170-065a-4910-bf80-0f16f7033c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9f2e5f-2d1f-4a29-a037-75f72a16df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15f6d182-c759-4f05-b43b-20e4e1d9c2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127170-065a-4910-bf80-0f16f7033ca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dfd0242-69d5-425b-961e-ef7e1e588fbc}" ma:internalName="TaxCatchAll" ma:showField="CatchAllData" ma:web="67127170-065a-4910-bf80-0f16f7033c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7127170-065a-4910-bf80-0f16f7033ca5" xsi:nil="true"/>
    <lcf76f155ced4ddcb4097134ff3c332f xmlns="089f2e5f-2d1f-4a29-a037-75f72a16df9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B93D4ED-09F2-4F3C-8E5A-CAA528D273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E88D49-435B-4B03-82B9-33A8270744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9f2e5f-2d1f-4a29-a037-75f72a16df99"/>
    <ds:schemaRef ds:uri="67127170-065a-4910-bf80-0f16f7033c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F835D8F-CD62-4FB7-894E-6CF75A11D499}">
  <ds:schemaRefs>
    <ds:schemaRef ds:uri="http://schemas.microsoft.com/office/2006/metadata/properties"/>
    <ds:schemaRef ds:uri="http://schemas.microsoft.com/office/infopath/2007/PartnerControls"/>
    <ds:schemaRef ds:uri="67127170-065a-4910-bf80-0f16f7033ca5"/>
    <ds:schemaRef ds:uri="089f2e5f-2d1f-4a29-a037-75f72a16df9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451</TotalTime>
  <Pages>5</Pages>
  <Words>1297</Words>
  <Characters>7655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Pavlát</dc:creator>
  <cp:keywords/>
  <dc:description/>
  <cp:lastModifiedBy>David Pavlát</cp:lastModifiedBy>
  <cp:revision>244</cp:revision>
  <cp:lastPrinted>2024-05-06T09:16:00Z</cp:lastPrinted>
  <dcterms:created xsi:type="dcterms:W3CDTF">2022-09-05T11:28:00Z</dcterms:created>
  <dcterms:modified xsi:type="dcterms:W3CDTF">2024-05-22T12:50:00Z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0x0101004FF52DC153CD3A4692FE74F6B635A839</vt:lpwstr>
  </property>
</Properties>
</file>