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688"/>
      </w:tblGrid>
      <w:tr w:rsidR="00F62A52" w14:paraId="2070A1D7" w14:textId="77777777" w:rsidTr="00F62A52">
        <w:trPr>
          <w:trHeight w:val="653"/>
        </w:trPr>
        <w:tc>
          <w:tcPr>
            <w:tcW w:w="3828" w:type="dxa"/>
          </w:tcPr>
          <w:p w14:paraId="1F5AB69B" w14:textId="77777777" w:rsidR="00F62A52" w:rsidRPr="006445EF" w:rsidRDefault="00F62A52" w:rsidP="00D63481">
            <w:pPr>
              <w:pStyle w:val="Bezmezer"/>
              <w:ind w:left="-107"/>
              <w:jc w:val="both"/>
              <w:rPr>
                <w:rFonts w:ascii="Arial" w:hAnsi="Arial"/>
              </w:rPr>
            </w:pPr>
            <w:bookmarkStart w:id="0" w:name="_GoBack"/>
            <w:bookmarkEnd w:id="0"/>
            <w:r w:rsidRPr="006445EF">
              <w:rPr>
                <w:rFonts w:ascii="Arial" w:hAnsi="Arial"/>
                <w:noProof/>
              </w:rPr>
              <w:drawing>
                <wp:inline distT="0" distB="0" distL="0" distR="0" wp14:anchorId="0A6C4141" wp14:editId="0DD92374">
                  <wp:extent cx="2095130" cy="431350"/>
                  <wp:effectExtent l="0" t="0" r="63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3777" cy="451660"/>
                          </a:xfrm>
                          <a:prstGeom prst="rect">
                            <a:avLst/>
                          </a:prstGeom>
                        </pic:spPr>
                      </pic:pic>
                    </a:graphicData>
                  </a:graphic>
                </wp:inline>
              </w:drawing>
            </w:r>
          </w:p>
        </w:tc>
        <w:tc>
          <w:tcPr>
            <w:tcW w:w="2835" w:type="dxa"/>
          </w:tcPr>
          <w:p w14:paraId="07C7B36B" w14:textId="77777777" w:rsidR="00F62A52" w:rsidRPr="00372F77" w:rsidRDefault="00F62A52" w:rsidP="00F62A52">
            <w:pPr>
              <w:pStyle w:val="Normlnmini"/>
              <w:rPr>
                <w:sz w:val="20"/>
                <w:szCs w:val="20"/>
              </w:rPr>
            </w:pPr>
            <w:r w:rsidRPr="00372F77">
              <w:rPr>
                <w:sz w:val="20"/>
                <w:szCs w:val="20"/>
              </w:rPr>
              <w:t>VZP ČR</w:t>
            </w:r>
          </w:p>
          <w:p w14:paraId="1C95FFE0" w14:textId="3A2D5E41" w:rsidR="00F62A52" w:rsidRPr="00372F77" w:rsidRDefault="00E069DE" w:rsidP="00F62A52">
            <w:pPr>
              <w:pStyle w:val="Normlnmini"/>
              <w:rPr>
                <w:sz w:val="20"/>
                <w:szCs w:val="20"/>
              </w:rPr>
            </w:pPr>
            <w:r w:rsidRPr="00372F77">
              <w:rPr>
                <w:sz w:val="20"/>
                <w:szCs w:val="20"/>
              </w:rPr>
              <w:t>Orlická 2020</w:t>
            </w:r>
            <w:r w:rsidR="009C483E" w:rsidRPr="00372F77">
              <w:rPr>
                <w:sz w:val="20"/>
                <w:szCs w:val="20"/>
              </w:rPr>
              <w:t>/4</w:t>
            </w:r>
          </w:p>
          <w:p w14:paraId="5FE91F37" w14:textId="3CF175B5" w:rsidR="00F62A52" w:rsidRDefault="00E069DE" w:rsidP="00F62A52">
            <w:pPr>
              <w:pStyle w:val="Normlnmini"/>
            </w:pPr>
            <w:r w:rsidRPr="00372F77">
              <w:rPr>
                <w:sz w:val="20"/>
                <w:szCs w:val="20"/>
              </w:rPr>
              <w:t xml:space="preserve">130 </w:t>
            </w:r>
            <w:proofErr w:type="gramStart"/>
            <w:r w:rsidRPr="00372F77">
              <w:rPr>
                <w:sz w:val="20"/>
                <w:szCs w:val="20"/>
              </w:rPr>
              <w:t>00  Praha</w:t>
            </w:r>
            <w:proofErr w:type="gramEnd"/>
            <w:r w:rsidRPr="00372F77">
              <w:rPr>
                <w:sz w:val="20"/>
                <w:szCs w:val="20"/>
              </w:rPr>
              <w:t xml:space="preserve"> 3</w:t>
            </w:r>
          </w:p>
        </w:tc>
        <w:tc>
          <w:tcPr>
            <w:tcW w:w="2688" w:type="dxa"/>
            <w:vAlign w:val="bottom"/>
          </w:tcPr>
          <w:p w14:paraId="0D5F69F5" w14:textId="147D76C0" w:rsidR="00F62A52" w:rsidRPr="000F600B" w:rsidRDefault="000F0D97" w:rsidP="000F0D97">
            <w:pPr>
              <w:pStyle w:val="NORMLNkapitlky"/>
              <w:ind w:hanging="107"/>
              <w:rPr>
                <w:rFonts w:cs="Arial"/>
                <w:szCs w:val="16"/>
              </w:rPr>
            </w:pPr>
            <w:r w:rsidRPr="000F600B">
              <w:rPr>
                <w:rFonts w:cs="Arial"/>
                <w:szCs w:val="16"/>
              </w:rPr>
              <w:t>TISKOVÁ ZPRÁVA</w:t>
            </w:r>
          </w:p>
        </w:tc>
      </w:tr>
    </w:tbl>
    <w:p w14:paraId="61E6DF08" w14:textId="336A0F33" w:rsidR="004A77F8" w:rsidRPr="008823D4" w:rsidRDefault="004A77F8" w:rsidP="008823D4">
      <w:pPr>
        <w:pStyle w:val="Normlnmini"/>
        <w:spacing w:line="276" w:lineRule="auto"/>
        <w:rPr>
          <w:sz w:val="20"/>
        </w:rPr>
      </w:pPr>
    </w:p>
    <w:p w14:paraId="06D5D918" w14:textId="54F61EB9" w:rsidR="00AD3AFC" w:rsidRPr="008823D4" w:rsidRDefault="00AD3AFC" w:rsidP="008823D4">
      <w:pPr>
        <w:pStyle w:val="Normlnmini"/>
        <w:spacing w:line="276" w:lineRule="auto"/>
        <w:rPr>
          <w:sz w:val="20"/>
        </w:rPr>
      </w:pPr>
    </w:p>
    <w:p w14:paraId="62ED152C" w14:textId="4F1F5B53" w:rsidR="00995BAE" w:rsidRPr="00D9066F" w:rsidRDefault="00995BAE" w:rsidP="008823D4">
      <w:pPr>
        <w:spacing w:before="0" w:line="276" w:lineRule="auto"/>
        <w:jc w:val="right"/>
        <w:rPr>
          <w:color w:val="212121"/>
          <w:szCs w:val="20"/>
        </w:rPr>
      </w:pPr>
      <w:r w:rsidRPr="00D9066F">
        <w:rPr>
          <w:color w:val="212121"/>
          <w:szCs w:val="20"/>
        </w:rPr>
        <w:t xml:space="preserve">Praha </w:t>
      </w:r>
      <w:r w:rsidR="00C04046">
        <w:rPr>
          <w:color w:val="212121"/>
          <w:szCs w:val="20"/>
        </w:rPr>
        <w:t>1</w:t>
      </w:r>
      <w:r w:rsidR="005049CD">
        <w:rPr>
          <w:color w:val="212121"/>
          <w:szCs w:val="20"/>
        </w:rPr>
        <w:t>2</w:t>
      </w:r>
      <w:r w:rsidRPr="00D9066F">
        <w:rPr>
          <w:color w:val="212121"/>
          <w:szCs w:val="20"/>
        </w:rPr>
        <w:t xml:space="preserve">. </w:t>
      </w:r>
      <w:r w:rsidR="005049CD">
        <w:rPr>
          <w:color w:val="212121"/>
          <w:szCs w:val="20"/>
        </w:rPr>
        <w:t>4</w:t>
      </w:r>
      <w:r w:rsidRPr="00D9066F">
        <w:rPr>
          <w:color w:val="212121"/>
          <w:szCs w:val="20"/>
        </w:rPr>
        <w:t>. 202</w:t>
      </w:r>
      <w:r w:rsidR="003A15B6">
        <w:rPr>
          <w:color w:val="212121"/>
          <w:szCs w:val="20"/>
        </w:rPr>
        <w:t>4</w:t>
      </w:r>
    </w:p>
    <w:p w14:paraId="2353D541" w14:textId="77777777" w:rsidR="007E3308" w:rsidRDefault="007E3308" w:rsidP="00190EE7">
      <w:pPr>
        <w:spacing w:before="0" w:line="276" w:lineRule="auto"/>
        <w:jc w:val="both"/>
        <w:rPr>
          <w:color w:val="212121"/>
        </w:rPr>
      </w:pPr>
      <w:bookmarkStart w:id="1" w:name="_Hlk131142041"/>
    </w:p>
    <w:p w14:paraId="6B183A71" w14:textId="1D079F0F" w:rsidR="00C04046" w:rsidRPr="00072FDE" w:rsidRDefault="00C04046" w:rsidP="00C04046">
      <w:pPr>
        <w:spacing w:before="0" w:line="276" w:lineRule="auto"/>
        <w:jc w:val="both"/>
        <w:rPr>
          <w:b/>
          <w:bCs/>
          <w:color w:val="D22D0F"/>
          <w:sz w:val="24"/>
          <w:szCs w:val="20"/>
        </w:rPr>
      </w:pPr>
      <w:r w:rsidRPr="00072FDE">
        <w:rPr>
          <w:b/>
          <w:bCs/>
          <w:color w:val="D22D0F"/>
          <w:sz w:val="24"/>
          <w:szCs w:val="20"/>
        </w:rPr>
        <w:t>Monitoring je pro léčbu diabetu klíčový, výdaje na úhradu moderních senzorů neustále rostou</w:t>
      </w:r>
    </w:p>
    <w:p w14:paraId="1B86FA83" w14:textId="77777777" w:rsidR="00C04046" w:rsidRPr="00072FDE" w:rsidRDefault="00C04046" w:rsidP="00C04046">
      <w:pPr>
        <w:spacing w:before="0" w:line="276" w:lineRule="auto"/>
        <w:jc w:val="both"/>
        <w:rPr>
          <w:b/>
        </w:rPr>
      </w:pPr>
    </w:p>
    <w:p w14:paraId="24453800" w14:textId="77777777" w:rsidR="00C04046" w:rsidRDefault="00C04046" w:rsidP="00C04046">
      <w:pPr>
        <w:spacing w:before="0" w:line="276" w:lineRule="auto"/>
        <w:jc w:val="both"/>
        <w:rPr>
          <w:b/>
        </w:rPr>
      </w:pPr>
      <w:r w:rsidRPr="00072FDE">
        <w:rPr>
          <w:b/>
        </w:rPr>
        <w:t xml:space="preserve">Téměř 590 tisíc klientů VZP se léčí s diabetem a jejich počet každoročně roste. V roce 2023 zaplatila pojišťovna za péči o ně bezmála 9,8 mld. korun, přičemž více než dvě třetiny nákladů připadly na úhradu léčivých přípravků a zdravotnických prostředků. Celkem 764 milionů korun vynaložila VZP na úhradu moderních senzorů, jenž umožňují nepřetržité měření hladiny cukru v krvi pacienta. </w:t>
      </w:r>
    </w:p>
    <w:p w14:paraId="0E822BA0" w14:textId="77777777" w:rsidR="00C04046" w:rsidRPr="00072FDE" w:rsidRDefault="00C04046" w:rsidP="00C04046">
      <w:pPr>
        <w:spacing w:before="0" w:line="276" w:lineRule="auto"/>
        <w:jc w:val="both"/>
        <w:rPr>
          <w:b/>
        </w:rPr>
      </w:pPr>
    </w:p>
    <w:p w14:paraId="32D04183" w14:textId="77777777" w:rsidR="00C04046" w:rsidRDefault="00C04046" w:rsidP="00C04046">
      <w:pPr>
        <w:spacing w:before="0" w:line="276" w:lineRule="auto"/>
        <w:jc w:val="both"/>
      </w:pPr>
      <w:r w:rsidRPr="00072FDE">
        <w:t xml:space="preserve">VZP se dlouhodobě snaží preventivními programy motivovat klienty ke zdravému životnímu stylu, a tím předcházet vzniku diabetu 2. typu. Posílením sekundární prevence se pak zaměřuje na zmírnění rozvoje tohoto chronického onemocnění, které může pro nesledovaného pacienta skončit například slepotou, nebo amputací dolní končetiny. VZP na důležitost pravidelných kontrol diabetiků a dodržování léčebného režimu upozorňuje u příležitosti Světového dne monitoringu diabetu, který připadá na 14. dubna.  </w:t>
      </w:r>
    </w:p>
    <w:p w14:paraId="7A6E14C1" w14:textId="77777777" w:rsidR="00C04046" w:rsidRPr="00072FDE" w:rsidRDefault="00C04046" w:rsidP="00C04046">
      <w:pPr>
        <w:spacing w:before="0" w:line="276" w:lineRule="auto"/>
        <w:jc w:val="both"/>
      </w:pPr>
    </w:p>
    <w:p w14:paraId="6C1F2BF8" w14:textId="2875D173" w:rsidR="00C04046" w:rsidRDefault="00C04046" w:rsidP="00C04046">
      <w:pPr>
        <w:spacing w:before="0" w:line="276" w:lineRule="auto"/>
        <w:jc w:val="both"/>
      </w:pPr>
      <w:r w:rsidRPr="00072FDE">
        <w:t xml:space="preserve">S tím, jak rostou náklady na péči o diabetiky, rostou i náklady na zdravotnické prostředky, které tito pacienti využívají, vloni </w:t>
      </w:r>
      <w:r w:rsidR="003160FB">
        <w:t>to bylo</w:t>
      </w:r>
      <w:r w:rsidRPr="00072FDE">
        <w:t xml:space="preserve"> 223 tisíc pacientů z řad klientů VZP. Zatímco v roce 2022 činily náklady na </w:t>
      </w:r>
      <w:r w:rsidR="003160FB">
        <w:t>tyto prostředky</w:t>
      </w:r>
      <w:r w:rsidRPr="00072FDE">
        <w:t xml:space="preserve"> 1,24 mld. korun, v roce 2023 už se jednalo už o 1,41 mld. korun, víc než polovinu z nich tvoří </w:t>
      </w:r>
      <w:r w:rsidRPr="00072FDE">
        <w:rPr>
          <w:b/>
        </w:rPr>
        <w:t>úhrada senzorů a jejich příslušenství. „</w:t>
      </w:r>
      <w:r w:rsidRPr="00072FDE">
        <w:rPr>
          <w:b/>
          <w:i/>
        </w:rPr>
        <w:t>Senzory, které upozorňují pacienty na příliš nízkou nebo vysokou glykemii, hradíme v současné době pacientům s cukrovkou 1. typu,</w:t>
      </w:r>
      <w:r w:rsidRPr="00072FDE">
        <w:rPr>
          <w:b/>
        </w:rPr>
        <w:t>“ říká náměstek ředitele VZP pro zdravotní péči Jan Bodnár.</w:t>
      </w:r>
      <w:r w:rsidRPr="00072FDE">
        <w:t xml:space="preserve">  Připomíná, že vloni vstoupily na trh nové typy senzorů, které zajišťují další možné funkce např. volitelné zvukové či vibrační alarmy.</w:t>
      </w:r>
    </w:p>
    <w:p w14:paraId="02E6ACAD" w14:textId="77777777" w:rsidR="00C04046" w:rsidRPr="00072FDE" w:rsidRDefault="00C04046" w:rsidP="00C04046">
      <w:pPr>
        <w:spacing w:before="0" w:line="276" w:lineRule="auto"/>
        <w:jc w:val="both"/>
      </w:pPr>
    </w:p>
    <w:p w14:paraId="667B2BC2" w14:textId="77777777" w:rsidR="00C04046" w:rsidRPr="00072FDE" w:rsidRDefault="00C04046" w:rsidP="00C04046">
      <w:pPr>
        <w:spacing w:before="0" w:line="276" w:lineRule="auto"/>
        <w:jc w:val="center"/>
        <w:rPr>
          <w:b/>
          <w:szCs w:val="20"/>
        </w:rPr>
      </w:pPr>
      <w:r w:rsidRPr="00072FDE">
        <w:rPr>
          <w:b/>
          <w:szCs w:val="20"/>
        </w:rPr>
        <w:t xml:space="preserve">Počet </w:t>
      </w:r>
      <w:r w:rsidRPr="00072FDE">
        <w:rPr>
          <w:b/>
          <w:bCs/>
          <w:szCs w:val="20"/>
        </w:rPr>
        <w:t>klientů</w:t>
      </w:r>
      <w:r w:rsidRPr="00072FDE">
        <w:rPr>
          <w:b/>
          <w:szCs w:val="20"/>
        </w:rPr>
        <w:t xml:space="preserve"> VZP, kteří se léčili s diabetem v uplynulých 5 letech a náklady na jejich léčbu</w:t>
      </w:r>
    </w:p>
    <w:tbl>
      <w:tblPr>
        <w:tblW w:w="905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9"/>
        <w:gridCol w:w="2274"/>
        <w:gridCol w:w="2273"/>
        <w:gridCol w:w="2246"/>
      </w:tblGrid>
      <w:tr w:rsidR="00C04046" w:rsidRPr="00072FDE" w14:paraId="305A26D2" w14:textId="77777777" w:rsidTr="008B284B">
        <w:trPr>
          <w:trHeight w:val="510"/>
          <w:jc w:val="center"/>
        </w:trPr>
        <w:tc>
          <w:tcPr>
            <w:tcW w:w="2259" w:type="dxa"/>
            <w:shd w:val="clear" w:color="auto" w:fill="C0504D"/>
            <w:vAlign w:val="center"/>
          </w:tcPr>
          <w:p w14:paraId="1E4A9330" w14:textId="77777777" w:rsidR="00C04046" w:rsidRPr="00072FDE" w:rsidRDefault="00C04046" w:rsidP="00C04046">
            <w:pPr>
              <w:pStyle w:val="Normlnmini"/>
              <w:spacing w:line="276" w:lineRule="auto"/>
              <w:rPr>
                <w:b/>
                <w:color w:val="FFFFFF" w:themeColor="background1"/>
                <w:sz w:val="20"/>
                <w:szCs w:val="20"/>
              </w:rPr>
            </w:pPr>
          </w:p>
        </w:tc>
        <w:tc>
          <w:tcPr>
            <w:tcW w:w="2274" w:type="dxa"/>
            <w:shd w:val="clear" w:color="auto" w:fill="C0504D"/>
            <w:vAlign w:val="center"/>
          </w:tcPr>
          <w:p w14:paraId="2DFD5D86" w14:textId="77777777" w:rsidR="00C04046" w:rsidRPr="00072FDE" w:rsidRDefault="00C04046" w:rsidP="00C04046">
            <w:pPr>
              <w:pStyle w:val="Normlnmini"/>
              <w:spacing w:line="276" w:lineRule="auto"/>
              <w:jc w:val="center"/>
              <w:rPr>
                <w:b/>
                <w:color w:val="FFFFFF" w:themeColor="background1"/>
                <w:sz w:val="20"/>
                <w:szCs w:val="20"/>
              </w:rPr>
            </w:pPr>
            <w:r w:rsidRPr="00072FDE">
              <w:rPr>
                <w:b/>
                <w:color w:val="FFFFFF" w:themeColor="background1"/>
                <w:sz w:val="20"/>
                <w:szCs w:val="20"/>
              </w:rPr>
              <w:t>Počet pacientů</w:t>
            </w:r>
          </w:p>
        </w:tc>
        <w:tc>
          <w:tcPr>
            <w:tcW w:w="2273" w:type="dxa"/>
            <w:shd w:val="clear" w:color="auto" w:fill="C0504D"/>
            <w:vAlign w:val="center"/>
          </w:tcPr>
          <w:p w14:paraId="6BF9A349" w14:textId="77777777" w:rsidR="00C04046" w:rsidRPr="00072FDE" w:rsidRDefault="00C04046" w:rsidP="00C04046">
            <w:pPr>
              <w:pStyle w:val="Normlnmini"/>
              <w:spacing w:line="276" w:lineRule="auto"/>
              <w:jc w:val="center"/>
              <w:rPr>
                <w:b/>
                <w:color w:val="FFFFFF" w:themeColor="background1"/>
                <w:sz w:val="20"/>
                <w:szCs w:val="20"/>
              </w:rPr>
            </w:pPr>
            <w:r w:rsidRPr="00072FDE">
              <w:rPr>
                <w:b/>
                <w:color w:val="FFFFFF" w:themeColor="background1"/>
                <w:sz w:val="20"/>
                <w:szCs w:val="20"/>
              </w:rPr>
              <w:t>Náklady na léčbu v tis. Kč</w:t>
            </w:r>
          </w:p>
        </w:tc>
        <w:tc>
          <w:tcPr>
            <w:tcW w:w="2246" w:type="dxa"/>
            <w:shd w:val="clear" w:color="auto" w:fill="C0504D"/>
          </w:tcPr>
          <w:p w14:paraId="62FA1DE8" w14:textId="77777777" w:rsidR="00C04046" w:rsidRPr="00072FDE" w:rsidRDefault="00C04046" w:rsidP="00C04046">
            <w:pPr>
              <w:pStyle w:val="Normlnmini"/>
              <w:spacing w:line="276" w:lineRule="auto"/>
              <w:jc w:val="center"/>
              <w:rPr>
                <w:b/>
                <w:color w:val="FFFFFF" w:themeColor="background1"/>
                <w:sz w:val="20"/>
                <w:szCs w:val="20"/>
              </w:rPr>
            </w:pPr>
            <w:r w:rsidRPr="00072FDE">
              <w:rPr>
                <w:b/>
                <w:color w:val="FFFFFF" w:themeColor="background1"/>
                <w:sz w:val="20"/>
                <w:szCs w:val="20"/>
              </w:rPr>
              <w:t>Průměrné náklady na léčbu v tis. Kč</w:t>
            </w:r>
          </w:p>
        </w:tc>
      </w:tr>
      <w:tr w:rsidR="00C04046" w:rsidRPr="00072FDE" w14:paraId="2A05E514" w14:textId="77777777" w:rsidTr="008B284B">
        <w:tblPrEx>
          <w:tblCellMar>
            <w:left w:w="70" w:type="dxa"/>
            <w:right w:w="70" w:type="dxa"/>
          </w:tblCellMar>
        </w:tblPrEx>
        <w:trPr>
          <w:trHeight w:hRule="exact" w:val="340"/>
          <w:jc w:val="center"/>
        </w:trPr>
        <w:tc>
          <w:tcPr>
            <w:tcW w:w="2259" w:type="dxa"/>
            <w:shd w:val="clear" w:color="auto" w:fill="C0504D"/>
            <w:vAlign w:val="center"/>
          </w:tcPr>
          <w:p w14:paraId="0D902274" w14:textId="77777777" w:rsidR="00C04046" w:rsidRPr="00072FDE" w:rsidRDefault="00C04046" w:rsidP="00C04046">
            <w:pPr>
              <w:pStyle w:val="Normlnmini"/>
              <w:spacing w:line="276" w:lineRule="auto"/>
              <w:rPr>
                <w:b/>
                <w:color w:val="FFFFFF" w:themeColor="background1"/>
                <w:sz w:val="20"/>
                <w:szCs w:val="20"/>
              </w:rPr>
            </w:pPr>
            <w:r w:rsidRPr="00072FDE">
              <w:rPr>
                <w:b/>
                <w:color w:val="FFFFFF" w:themeColor="background1"/>
                <w:sz w:val="20"/>
                <w:szCs w:val="20"/>
              </w:rPr>
              <w:t>2019</w:t>
            </w:r>
          </w:p>
        </w:tc>
        <w:tc>
          <w:tcPr>
            <w:tcW w:w="2274" w:type="dxa"/>
            <w:shd w:val="clear" w:color="auto" w:fill="EFD3D2"/>
            <w:vAlign w:val="center"/>
          </w:tcPr>
          <w:p w14:paraId="6D867FA6"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571 244</w:t>
            </w:r>
          </w:p>
        </w:tc>
        <w:tc>
          <w:tcPr>
            <w:tcW w:w="2273" w:type="dxa"/>
            <w:shd w:val="clear" w:color="auto" w:fill="EFD3D2"/>
            <w:vAlign w:val="center"/>
          </w:tcPr>
          <w:p w14:paraId="5BDBF665"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7 791 359</w:t>
            </w:r>
          </w:p>
        </w:tc>
        <w:tc>
          <w:tcPr>
            <w:tcW w:w="2246" w:type="dxa"/>
            <w:shd w:val="clear" w:color="auto" w:fill="EFD3D2"/>
          </w:tcPr>
          <w:p w14:paraId="20885A88"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13,6</w:t>
            </w:r>
          </w:p>
        </w:tc>
      </w:tr>
      <w:tr w:rsidR="00C04046" w:rsidRPr="00072FDE" w14:paraId="0B5D3F67" w14:textId="77777777" w:rsidTr="008B284B">
        <w:tblPrEx>
          <w:tblCellMar>
            <w:left w:w="70" w:type="dxa"/>
            <w:right w:w="70" w:type="dxa"/>
          </w:tblCellMar>
        </w:tblPrEx>
        <w:trPr>
          <w:trHeight w:hRule="exact" w:val="340"/>
          <w:jc w:val="center"/>
        </w:trPr>
        <w:tc>
          <w:tcPr>
            <w:tcW w:w="2259" w:type="dxa"/>
            <w:shd w:val="clear" w:color="auto" w:fill="C0504D"/>
            <w:vAlign w:val="center"/>
          </w:tcPr>
          <w:p w14:paraId="3F3209A8" w14:textId="77777777" w:rsidR="00C04046" w:rsidRPr="00072FDE" w:rsidRDefault="00C04046" w:rsidP="00C04046">
            <w:pPr>
              <w:pStyle w:val="Normlnmini"/>
              <w:spacing w:line="276" w:lineRule="auto"/>
              <w:rPr>
                <w:b/>
                <w:color w:val="FFFFFF" w:themeColor="background1"/>
                <w:sz w:val="20"/>
                <w:szCs w:val="20"/>
              </w:rPr>
            </w:pPr>
            <w:r w:rsidRPr="00072FDE">
              <w:rPr>
                <w:b/>
                <w:color w:val="FFFFFF" w:themeColor="background1"/>
                <w:sz w:val="20"/>
                <w:szCs w:val="20"/>
              </w:rPr>
              <w:t>2020</w:t>
            </w:r>
          </w:p>
        </w:tc>
        <w:tc>
          <w:tcPr>
            <w:tcW w:w="2274" w:type="dxa"/>
            <w:shd w:val="clear" w:color="auto" w:fill="EFD3D2"/>
            <w:vAlign w:val="center"/>
          </w:tcPr>
          <w:p w14:paraId="7DA94041"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561 807</w:t>
            </w:r>
          </w:p>
        </w:tc>
        <w:tc>
          <w:tcPr>
            <w:tcW w:w="2273" w:type="dxa"/>
            <w:shd w:val="clear" w:color="auto" w:fill="EFD3D2"/>
            <w:vAlign w:val="center"/>
          </w:tcPr>
          <w:p w14:paraId="6112EFBA"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8 289 695</w:t>
            </w:r>
          </w:p>
        </w:tc>
        <w:tc>
          <w:tcPr>
            <w:tcW w:w="2246" w:type="dxa"/>
            <w:shd w:val="clear" w:color="auto" w:fill="EFD3D2"/>
          </w:tcPr>
          <w:p w14:paraId="2E83A4FD"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14,8</w:t>
            </w:r>
          </w:p>
        </w:tc>
      </w:tr>
      <w:tr w:rsidR="00C04046" w:rsidRPr="00072FDE" w14:paraId="69E44129" w14:textId="77777777" w:rsidTr="008B284B">
        <w:tblPrEx>
          <w:tblCellMar>
            <w:left w:w="70" w:type="dxa"/>
            <w:right w:w="70" w:type="dxa"/>
          </w:tblCellMar>
        </w:tblPrEx>
        <w:trPr>
          <w:trHeight w:hRule="exact" w:val="340"/>
          <w:jc w:val="center"/>
        </w:trPr>
        <w:tc>
          <w:tcPr>
            <w:tcW w:w="2259" w:type="dxa"/>
            <w:shd w:val="clear" w:color="auto" w:fill="C0504D"/>
            <w:vAlign w:val="center"/>
          </w:tcPr>
          <w:p w14:paraId="1355FC75" w14:textId="77777777" w:rsidR="00C04046" w:rsidRPr="00072FDE" w:rsidRDefault="00C04046" w:rsidP="00C04046">
            <w:pPr>
              <w:pStyle w:val="Normlnmini"/>
              <w:spacing w:line="276" w:lineRule="auto"/>
              <w:rPr>
                <w:b/>
                <w:color w:val="FFFFFF" w:themeColor="background1"/>
                <w:sz w:val="20"/>
                <w:szCs w:val="20"/>
              </w:rPr>
            </w:pPr>
            <w:r w:rsidRPr="00072FDE">
              <w:rPr>
                <w:b/>
                <w:color w:val="FFFFFF" w:themeColor="background1"/>
                <w:sz w:val="20"/>
                <w:szCs w:val="20"/>
              </w:rPr>
              <w:t>2021</w:t>
            </w:r>
          </w:p>
        </w:tc>
        <w:tc>
          <w:tcPr>
            <w:tcW w:w="2274" w:type="dxa"/>
            <w:shd w:val="clear" w:color="auto" w:fill="EFD3D2"/>
            <w:vAlign w:val="center"/>
          </w:tcPr>
          <w:p w14:paraId="64C2C428"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568 649</w:t>
            </w:r>
          </w:p>
        </w:tc>
        <w:tc>
          <w:tcPr>
            <w:tcW w:w="2273" w:type="dxa"/>
            <w:shd w:val="clear" w:color="auto" w:fill="EFD3D2"/>
            <w:vAlign w:val="center"/>
          </w:tcPr>
          <w:p w14:paraId="1EEC2074"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8 406 277</w:t>
            </w:r>
          </w:p>
        </w:tc>
        <w:tc>
          <w:tcPr>
            <w:tcW w:w="2246" w:type="dxa"/>
            <w:shd w:val="clear" w:color="auto" w:fill="EFD3D2"/>
          </w:tcPr>
          <w:p w14:paraId="63A5C786"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14,8</w:t>
            </w:r>
          </w:p>
        </w:tc>
      </w:tr>
      <w:tr w:rsidR="00C04046" w:rsidRPr="00072FDE" w14:paraId="2450D35B" w14:textId="77777777" w:rsidTr="008B284B">
        <w:tblPrEx>
          <w:tblCellMar>
            <w:left w:w="70" w:type="dxa"/>
            <w:right w:w="70" w:type="dxa"/>
          </w:tblCellMar>
        </w:tblPrEx>
        <w:trPr>
          <w:trHeight w:hRule="exact" w:val="340"/>
          <w:jc w:val="center"/>
        </w:trPr>
        <w:tc>
          <w:tcPr>
            <w:tcW w:w="2259" w:type="dxa"/>
            <w:shd w:val="clear" w:color="auto" w:fill="C0504D"/>
            <w:vAlign w:val="center"/>
          </w:tcPr>
          <w:p w14:paraId="74A4A7CB" w14:textId="77777777" w:rsidR="00C04046" w:rsidRPr="00072FDE" w:rsidRDefault="00C04046" w:rsidP="00C04046">
            <w:pPr>
              <w:pStyle w:val="Normlnmini"/>
              <w:spacing w:line="276" w:lineRule="auto"/>
              <w:rPr>
                <w:b/>
                <w:color w:val="FFFFFF" w:themeColor="background1"/>
                <w:sz w:val="20"/>
                <w:szCs w:val="20"/>
              </w:rPr>
            </w:pPr>
            <w:r w:rsidRPr="00072FDE">
              <w:rPr>
                <w:b/>
                <w:color w:val="FFFFFF" w:themeColor="background1"/>
                <w:sz w:val="20"/>
                <w:szCs w:val="20"/>
              </w:rPr>
              <w:t>2022</w:t>
            </w:r>
          </w:p>
        </w:tc>
        <w:tc>
          <w:tcPr>
            <w:tcW w:w="2274" w:type="dxa"/>
            <w:shd w:val="clear" w:color="auto" w:fill="EFD3D2"/>
            <w:vAlign w:val="center"/>
          </w:tcPr>
          <w:p w14:paraId="6BC61825"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574 877</w:t>
            </w:r>
          </w:p>
        </w:tc>
        <w:tc>
          <w:tcPr>
            <w:tcW w:w="2273" w:type="dxa"/>
            <w:shd w:val="clear" w:color="auto" w:fill="EFD3D2"/>
            <w:vAlign w:val="center"/>
          </w:tcPr>
          <w:p w14:paraId="299937F5"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9 294 556</w:t>
            </w:r>
          </w:p>
        </w:tc>
        <w:tc>
          <w:tcPr>
            <w:tcW w:w="2246" w:type="dxa"/>
            <w:shd w:val="clear" w:color="auto" w:fill="EFD3D2"/>
          </w:tcPr>
          <w:p w14:paraId="760476DC"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16,2</w:t>
            </w:r>
          </w:p>
        </w:tc>
      </w:tr>
      <w:tr w:rsidR="00C04046" w:rsidRPr="00072FDE" w14:paraId="19AE93B4" w14:textId="77777777" w:rsidTr="008B284B">
        <w:tblPrEx>
          <w:tblCellMar>
            <w:left w:w="70" w:type="dxa"/>
            <w:right w:w="70" w:type="dxa"/>
          </w:tblCellMar>
        </w:tblPrEx>
        <w:trPr>
          <w:trHeight w:hRule="exact" w:val="340"/>
          <w:jc w:val="center"/>
        </w:trPr>
        <w:tc>
          <w:tcPr>
            <w:tcW w:w="2259" w:type="dxa"/>
            <w:shd w:val="clear" w:color="auto" w:fill="C0504D"/>
            <w:vAlign w:val="center"/>
          </w:tcPr>
          <w:p w14:paraId="4BC9003B" w14:textId="77777777" w:rsidR="00C04046" w:rsidRPr="00072FDE" w:rsidRDefault="00C04046" w:rsidP="00C04046">
            <w:pPr>
              <w:pStyle w:val="Normlnmini"/>
              <w:spacing w:line="276" w:lineRule="auto"/>
              <w:rPr>
                <w:b/>
                <w:color w:val="FFFFFF" w:themeColor="background1"/>
                <w:sz w:val="20"/>
                <w:szCs w:val="20"/>
              </w:rPr>
            </w:pPr>
            <w:r w:rsidRPr="00072FDE">
              <w:rPr>
                <w:b/>
                <w:color w:val="FFFFFF" w:themeColor="background1"/>
                <w:sz w:val="20"/>
                <w:szCs w:val="20"/>
              </w:rPr>
              <w:t>2023</w:t>
            </w:r>
          </w:p>
        </w:tc>
        <w:tc>
          <w:tcPr>
            <w:tcW w:w="2274" w:type="dxa"/>
            <w:shd w:val="clear" w:color="auto" w:fill="EFD3D2"/>
            <w:vAlign w:val="center"/>
          </w:tcPr>
          <w:p w14:paraId="791ABDC8"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588 574</w:t>
            </w:r>
          </w:p>
        </w:tc>
        <w:tc>
          <w:tcPr>
            <w:tcW w:w="2273" w:type="dxa"/>
            <w:shd w:val="clear" w:color="auto" w:fill="EFD3D2"/>
            <w:vAlign w:val="center"/>
          </w:tcPr>
          <w:p w14:paraId="11EFA682"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9 787 414</w:t>
            </w:r>
          </w:p>
        </w:tc>
        <w:tc>
          <w:tcPr>
            <w:tcW w:w="2246" w:type="dxa"/>
            <w:shd w:val="clear" w:color="auto" w:fill="EFD3D2"/>
          </w:tcPr>
          <w:p w14:paraId="31D37EA7" w14:textId="77777777" w:rsidR="00C04046" w:rsidRPr="00072FDE" w:rsidRDefault="00C04046" w:rsidP="00C04046">
            <w:pPr>
              <w:pStyle w:val="Normlnmini"/>
              <w:spacing w:line="276" w:lineRule="auto"/>
              <w:jc w:val="center"/>
              <w:rPr>
                <w:color w:val="000000"/>
                <w:sz w:val="20"/>
                <w:szCs w:val="20"/>
              </w:rPr>
            </w:pPr>
            <w:r w:rsidRPr="00072FDE">
              <w:rPr>
                <w:color w:val="000000"/>
                <w:sz w:val="20"/>
                <w:szCs w:val="20"/>
              </w:rPr>
              <w:t>16,6</w:t>
            </w:r>
          </w:p>
        </w:tc>
      </w:tr>
    </w:tbl>
    <w:p w14:paraId="59651B5C" w14:textId="77777777" w:rsidR="00C04046" w:rsidRPr="00072FDE" w:rsidRDefault="00C04046" w:rsidP="00C04046">
      <w:pPr>
        <w:spacing w:before="0" w:line="276" w:lineRule="auto"/>
        <w:jc w:val="both"/>
        <w:rPr>
          <w:b/>
          <w:bCs/>
          <w:szCs w:val="20"/>
        </w:rPr>
      </w:pPr>
    </w:p>
    <w:p w14:paraId="61FF693E" w14:textId="77777777" w:rsidR="00C04046" w:rsidRPr="00C04046" w:rsidRDefault="00C04046" w:rsidP="00C04046">
      <w:pPr>
        <w:spacing w:before="0" w:line="276" w:lineRule="auto"/>
      </w:pPr>
    </w:p>
    <w:p w14:paraId="1E756337" w14:textId="487FA836" w:rsidR="00C04046" w:rsidRDefault="00C04046" w:rsidP="00C04046">
      <w:pPr>
        <w:spacing w:before="0" w:line="276" w:lineRule="auto"/>
        <w:jc w:val="both"/>
        <w:rPr>
          <w:rStyle w:val="Siln"/>
          <w:b w:val="0"/>
          <w:szCs w:val="20"/>
        </w:rPr>
      </w:pPr>
      <w:r w:rsidRPr="00C04046">
        <w:rPr>
          <w:rStyle w:val="Siln"/>
          <w:b w:val="0"/>
          <w:szCs w:val="20"/>
        </w:rPr>
        <w:t xml:space="preserve">Z dat VZP vyplývá, že počet nemocných stoupá, vloni se s cukrovkou léčil </w:t>
      </w:r>
      <w:r w:rsidR="003160FB">
        <w:rPr>
          <w:rStyle w:val="Siln"/>
          <w:b w:val="0"/>
          <w:szCs w:val="20"/>
        </w:rPr>
        <w:t xml:space="preserve">zhruba </w:t>
      </w:r>
      <w:r w:rsidRPr="00C04046">
        <w:rPr>
          <w:rStyle w:val="Siln"/>
          <w:b w:val="0"/>
          <w:szCs w:val="20"/>
        </w:rPr>
        <w:t>každý desátý klient. V průběhu let rostou také jak celkové náklady pojišťovny na léčbu tohoto onemocnění, za pět let o 27 %, tak i průměrné náklady na pacienta. To je dáno mj. dostupností stále modernějších léčivých přípravků a zdravotnických prostředků, které diabetikům pomáhají (inzulínové pumpy nové generace, glukometry nebo senzory na monitorování glykémie atd.)</w:t>
      </w:r>
      <w:r w:rsidR="003160FB">
        <w:rPr>
          <w:rStyle w:val="Siln"/>
          <w:b w:val="0"/>
          <w:szCs w:val="20"/>
        </w:rPr>
        <w:t>.</w:t>
      </w:r>
      <w:r w:rsidRPr="00C04046">
        <w:rPr>
          <w:rStyle w:val="Siln"/>
          <w:b w:val="0"/>
          <w:szCs w:val="20"/>
        </w:rPr>
        <w:t xml:space="preserve"> Nejčastěji se s cukrovkou léčí lidé ve věku 70-79 let (v roce 2023 to bylo 200 tis. klientů VZP).  </w:t>
      </w:r>
    </w:p>
    <w:p w14:paraId="417BA562" w14:textId="77777777" w:rsidR="003160FB" w:rsidRPr="00C04046" w:rsidRDefault="003160FB" w:rsidP="00C04046">
      <w:pPr>
        <w:spacing w:before="0" w:line="276" w:lineRule="auto"/>
        <w:jc w:val="both"/>
        <w:rPr>
          <w:bCs/>
          <w:szCs w:val="20"/>
        </w:rPr>
      </w:pPr>
    </w:p>
    <w:p w14:paraId="186BF9D8" w14:textId="77777777" w:rsidR="00C04046" w:rsidRPr="00C04046" w:rsidRDefault="00C04046" w:rsidP="00C04046">
      <w:pPr>
        <w:spacing w:before="0" w:line="276" w:lineRule="auto"/>
        <w:jc w:val="both"/>
        <w:rPr>
          <w:bCs/>
          <w:szCs w:val="20"/>
        </w:rPr>
      </w:pPr>
    </w:p>
    <w:p w14:paraId="015C842D" w14:textId="77777777" w:rsidR="00C04046" w:rsidRPr="00C04046" w:rsidRDefault="00C04046" w:rsidP="00C04046">
      <w:pPr>
        <w:spacing w:before="0" w:line="276" w:lineRule="auto"/>
        <w:jc w:val="both"/>
        <w:rPr>
          <w:rStyle w:val="Siln"/>
          <w:caps/>
          <w:color w:val="212121"/>
          <w:szCs w:val="20"/>
          <w:shd w:val="clear" w:color="auto" w:fill="FFFFFF"/>
        </w:rPr>
      </w:pPr>
      <w:r w:rsidRPr="00C04046">
        <w:rPr>
          <w:bCs/>
          <w:szCs w:val="20"/>
        </w:rPr>
        <w:lastRenderedPageBreak/>
        <w:t>PR</w:t>
      </w:r>
      <w:r w:rsidRPr="00C04046">
        <w:rPr>
          <w:rStyle w:val="Siln"/>
          <w:caps/>
          <w:color w:val="212121"/>
          <w:szCs w:val="20"/>
          <w:shd w:val="clear" w:color="auto" w:fill="FFFFFF"/>
        </w:rPr>
        <w:t xml:space="preserve">eventivní prohlídky </w:t>
      </w:r>
    </w:p>
    <w:p w14:paraId="72D89CE0" w14:textId="77777777" w:rsidR="003160FB" w:rsidRPr="00C04046" w:rsidRDefault="003160FB" w:rsidP="003160FB">
      <w:pPr>
        <w:spacing w:before="0" w:line="276" w:lineRule="auto"/>
        <w:jc w:val="both"/>
        <w:rPr>
          <w:bCs/>
          <w:szCs w:val="20"/>
        </w:rPr>
      </w:pPr>
      <w:r w:rsidRPr="00C04046">
        <w:rPr>
          <w:rStyle w:val="Siln"/>
          <w:b w:val="0"/>
          <w:szCs w:val="20"/>
        </w:rPr>
        <w:t xml:space="preserve">Více než 90 % pacientů trpí diabetem 2. typu, zbývajících 10 % tvoří pacienti s diabetem 1. typu, těhotenským diabetem a specifickými typy diabetu. Podle statistických údajů došlo v průběhu posledních zhruba 35 let ke ztrojnásobení počtu registrovaných diabetiků v ČR. Nicméně v naší populaci je ještě značný počet nediagnostikovaných diabetiků, u nichž se na onemocnění přijde až při nějakých zdravotních komplikacích anebo v případě bezpříznakového diabetu zcela náhodně.  </w:t>
      </w:r>
    </w:p>
    <w:p w14:paraId="5EB8752F" w14:textId="77777777" w:rsidR="003160FB" w:rsidRDefault="003160FB" w:rsidP="00C04046">
      <w:pPr>
        <w:spacing w:before="0" w:line="276" w:lineRule="auto"/>
        <w:jc w:val="both"/>
        <w:rPr>
          <w:rStyle w:val="Siln"/>
          <w:b w:val="0"/>
          <w:color w:val="212121"/>
          <w:szCs w:val="20"/>
          <w:shd w:val="clear" w:color="auto" w:fill="FFFFFF"/>
        </w:rPr>
      </w:pPr>
    </w:p>
    <w:p w14:paraId="5547685F" w14:textId="7B07363B" w:rsidR="00C04046" w:rsidRPr="00C04046" w:rsidRDefault="00C04046" w:rsidP="00C04046">
      <w:pPr>
        <w:spacing w:before="0" w:line="276" w:lineRule="auto"/>
        <w:jc w:val="both"/>
        <w:rPr>
          <w:rStyle w:val="Siln"/>
          <w:b w:val="0"/>
          <w:color w:val="212121"/>
          <w:szCs w:val="20"/>
          <w:shd w:val="clear" w:color="auto" w:fill="FFFFFF"/>
        </w:rPr>
      </w:pPr>
      <w:r w:rsidRPr="00C04046">
        <w:rPr>
          <w:rStyle w:val="Siln"/>
          <w:b w:val="0"/>
          <w:color w:val="212121"/>
          <w:szCs w:val="20"/>
          <w:shd w:val="clear" w:color="auto" w:fill="FFFFFF"/>
        </w:rPr>
        <w:t xml:space="preserve">V rámci preventivních prohlídek u praktického lékaře se od 18 let věku každé 2 roky provádí orientační </w:t>
      </w:r>
      <w:r w:rsidRPr="00C04046">
        <w:rPr>
          <w:bCs/>
          <w:szCs w:val="20"/>
        </w:rPr>
        <w:t>chemické</w:t>
      </w:r>
      <w:r w:rsidRPr="00C04046">
        <w:rPr>
          <w:rStyle w:val="Siln"/>
          <w:b w:val="0"/>
          <w:color w:val="212121"/>
          <w:szCs w:val="20"/>
          <w:shd w:val="clear" w:color="auto" w:fill="FFFFFF"/>
        </w:rPr>
        <w:t xml:space="preserve"> vyšetření moči a od věku 40 let v téže periodicitě také laboratorní vyšetření glykémie, při nichž by měl být dosud nepoznaný diabetes u pacienta zachycen. Zatímco v roce 2020 VZP evidovala u všeobecných praktických lékařů 18 024 dispenzarizovaných </w:t>
      </w:r>
      <w:proofErr w:type="spellStart"/>
      <w:r w:rsidRPr="00C04046">
        <w:rPr>
          <w:rStyle w:val="Siln"/>
          <w:b w:val="0"/>
          <w:color w:val="212121"/>
          <w:szCs w:val="20"/>
          <w:shd w:val="clear" w:color="auto" w:fill="FFFFFF"/>
        </w:rPr>
        <w:t>prediabetiků</w:t>
      </w:r>
      <w:proofErr w:type="spellEnd"/>
      <w:r w:rsidRPr="00C04046">
        <w:rPr>
          <w:rStyle w:val="Siln"/>
          <w:b w:val="0"/>
          <w:color w:val="212121"/>
          <w:szCs w:val="20"/>
          <w:shd w:val="clear" w:color="auto" w:fill="FFFFFF"/>
        </w:rPr>
        <w:t>, vloni jich bylo už 46 433.</w:t>
      </w:r>
    </w:p>
    <w:p w14:paraId="2F7BDCEE" w14:textId="77777777" w:rsidR="00C04046" w:rsidRPr="00C04046" w:rsidRDefault="00C04046" w:rsidP="00C04046">
      <w:pPr>
        <w:spacing w:before="0" w:line="276" w:lineRule="auto"/>
        <w:jc w:val="both"/>
        <w:rPr>
          <w:bCs/>
          <w:szCs w:val="20"/>
        </w:rPr>
      </w:pPr>
    </w:p>
    <w:p w14:paraId="3DD7624A" w14:textId="77777777" w:rsidR="00C04046" w:rsidRPr="00C04046" w:rsidRDefault="00C04046" w:rsidP="00C04046">
      <w:pPr>
        <w:spacing w:before="0" w:line="276" w:lineRule="auto"/>
        <w:jc w:val="both"/>
        <w:rPr>
          <w:rStyle w:val="Siln"/>
          <w:b w:val="0"/>
          <w:caps/>
          <w:color w:val="212121"/>
          <w:szCs w:val="20"/>
          <w:shd w:val="clear" w:color="auto" w:fill="FFFFFF"/>
        </w:rPr>
      </w:pPr>
      <w:r w:rsidRPr="00C04046">
        <w:rPr>
          <w:b/>
          <w:bCs/>
          <w:szCs w:val="20"/>
        </w:rPr>
        <w:t>PŘÍSPĚVKY Z FONDU PREVENCE</w:t>
      </w:r>
      <w:r w:rsidRPr="00C04046">
        <w:rPr>
          <w:rStyle w:val="Siln"/>
          <w:b w:val="0"/>
          <w:caps/>
          <w:color w:val="212121"/>
          <w:szCs w:val="20"/>
          <w:shd w:val="clear" w:color="auto" w:fill="FFFFFF"/>
        </w:rPr>
        <w:t xml:space="preserve"> </w:t>
      </w:r>
    </w:p>
    <w:p w14:paraId="0AE283D5" w14:textId="77777777" w:rsidR="00C04046" w:rsidRPr="00072FDE" w:rsidRDefault="00C04046" w:rsidP="00C04046">
      <w:pPr>
        <w:spacing w:before="0" w:line="276" w:lineRule="auto"/>
        <w:jc w:val="both"/>
        <w:rPr>
          <w:rStyle w:val="Siln"/>
          <w:b w:val="0"/>
          <w:color w:val="212121"/>
          <w:szCs w:val="20"/>
          <w:shd w:val="clear" w:color="auto" w:fill="FFFFFF"/>
        </w:rPr>
      </w:pPr>
      <w:r w:rsidRPr="00C04046">
        <w:rPr>
          <w:rStyle w:val="Siln"/>
          <w:b w:val="0"/>
          <w:color w:val="212121"/>
          <w:szCs w:val="20"/>
          <w:shd w:val="clear" w:color="auto" w:fill="FFFFFF"/>
        </w:rPr>
        <w:t>VZP přispívá diabetikům starším 18 let ročně 3 000 korun na odbornou přístrojovou pedikúru, jenž by měla napomáhat zmírnění rozvoje syndromu diabetické nohy. Všichni diabetici bez omezení věku pak mohou čerpat 2 000 korun na rehabilitační a rekondiční aktivity lázeňského typu, např. na masáže, saunu, zdravotní cvičení a 1 000 korun na nákup desinfekčních prostředků či testovacích proužků, jehel k inzulinovým perům, gelů a krémů určených k hojení ran apod. Podrobné informace o příspěvcích včetně návodu, jak si o ně požádat, jsou uvedeny na webu pojišťovny:</w:t>
      </w:r>
      <w:r w:rsidRPr="00072FDE">
        <w:rPr>
          <w:rStyle w:val="Siln"/>
          <w:color w:val="212121"/>
          <w:szCs w:val="20"/>
          <w:shd w:val="clear" w:color="auto" w:fill="FFFFFF"/>
        </w:rPr>
        <w:t xml:space="preserve"> </w:t>
      </w:r>
      <w:hyperlink r:id="rId11" w:history="1">
        <w:r w:rsidRPr="00072FDE">
          <w:rPr>
            <w:rStyle w:val="Hypertextovodkaz"/>
          </w:rPr>
          <w:t xml:space="preserve">Diabetes </w:t>
        </w:r>
        <w:proofErr w:type="spellStart"/>
        <w:r w:rsidRPr="00072FDE">
          <w:rPr>
            <w:rStyle w:val="Hypertextovodkaz"/>
          </w:rPr>
          <w:t>mellitus</w:t>
        </w:r>
        <w:proofErr w:type="spellEnd"/>
        <w:r w:rsidRPr="00072FDE">
          <w:rPr>
            <w:rStyle w:val="Hypertextovodkaz"/>
          </w:rPr>
          <w:t xml:space="preserve"> - VZP ČR</w:t>
        </w:r>
      </w:hyperlink>
      <w:r w:rsidRPr="00072FDE">
        <w:t>.</w:t>
      </w:r>
      <w:r w:rsidRPr="00072FDE">
        <w:rPr>
          <w:rStyle w:val="Siln"/>
          <w:color w:val="212121"/>
          <w:szCs w:val="20"/>
          <w:shd w:val="clear" w:color="auto" w:fill="FFFFFF"/>
        </w:rPr>
        <w:t xml:space="preserve"> </w:t>
      </w:r>
    </w:p>
    <w:p w14:paraId="52668BD4" w14:textId="77777777" w:rsidR="00692259" w:rsidRPr="00CE1A50" w:rsidRDefault="00692259" w:rsidP="008823D4">
      <w:pPr>
        <w:spacing w:before="0" w:line="276" w:lineRule="auto"/>
        <w:rPr>
          <w:b/>
          <w:bCs/>
          <w:szCs w:val="20"/>
        </w:rPr>
      </w:pPr>
    </w:p>
    <w:bookmarkEnd w:id="1"/>
    <w:p w14:paraId="465AF1C0" w14:textId="5560F37D" w:rsidR="00995BAE" w:rsidRPr="00117FF2" w:rsidRDefault="00190EE7" w:rsidP="008823D4">
      <w:pPr>
        <w:spacing w:before="0" w:line="276" w:lineRule="auto"/>
        <w:rPr>
          <w:b/>
          <w:bCs/>
          <w:szCs w:val="20"/>
        </w:rPr>
      </w:pPr>
      <w:r>
        <w:rPr>
          <w:b/>
          <w:bCs/>
          <w:szCs w:val="20"/>
        </w:rPr>
        <w:t>Viktorie Plívová</w:t>
      </w:r>
    </w:p>
    <w:p w14:paraId="29F91A9C" w14:textId="534DFEB9" w:rsidR="00995BAE" w:rsidRPr="00117FF2" w:rsidRDefault="00190EE7" w:rsidP="008823D4">
      <w:pPr>
        <w:spacing w:before="0" w:line="276" w:lineRule="auto"/>
        <w:rPr>
          <w:szCs w:val="20"/>
        </w:rPr>
      </w:pPr>
      <w:r>
        <w:rPr>
          <w:szCs w:val="20"/>
        </w:rPr>
        <w:t xml:space="preserve">Tisková mluvčí </w:t>
      </w:r>
    </w:p>
    <w:sectPr w:rsidR="00995BAE" w:rsidRPr="00117FF2" w:rsidSect="003A15B6">
      <w:footerReference w:type="default" r:id="rId12"/>
      <w:pgSz w:w="11906" w:h="16838"/>
      <w:pgMar w:top="1417" w:right="1417" w:bottom="1843"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C5C5C" w14:textId="77777777" w:rsidR="00CF4E86" w:rsidRDefault="00CF4E86" w:rsidP="00844E5F">
      <w:pPr>
        <w:spacing w:before="0" w:line="240" w:lineRule="auto"/>
      </w:pPr>
      <w:r>
        <w:separator/>
      </w:r>
    </w:p>
  </w:endnote>
  <w:endnote w:type="continuationSeparator" w:id="0">
    <w:p w14:paraId="36A7391E" w14:textId="77777777" w:rsidR="00CF4E86" w:rsidRDefault="00CF4E86" w:rsidP="00844E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ter">
    <w:altName w:val="Calibri"/>
    <w:panose1 w:val="02000503000000020004"/>
    <w:charset w:val="00"/>
    <w:family w:val="modern"/>
    <w:notTrueType/>
    <w:pitch w:val="variable"/>
    <w:sig w:usb0="E0000AFF" w:usb1="5200A1FF" w:usb2="00000021" w:usb3="00000000" w:csb0="0000019F"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leftFromText="141" w:rightFromText="141" w:vertAnchor="text" w:horzAnchor="margin" w:tblpY="191"/>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F62A52" w14:paraId="156E0E6A" w14:textId="77777777" w:rsidTr="00F019E9">
      <w:trPr>
        <w:trHeight w:val="741"/>
      </w:trPr>
      <w:tc>
        <w:tcPr>
          <w:tcW w:w="2552" w:type="dxa"/>
          <w:tcBorders>
            <w:left w:val="single" w:sz="12" w:space="0" w:color="auto"/>
          </w:tcBorders>
          <w:vAlign w:val="center"/>
        </w:tcPr>
        <w:p w14:paraId="1B976203" w14:textId="5D4A49AC" w:rsidR="00F62A52" w:rsidRPr="00A770CA" w:rsidRDefault="00F62A52" w:rsidP="00DF7A80">
          <w:pPr>
            <w:pStyle w:val="Normlnmini"/>
            <w:ind w:left="300"/>
            <w:rPr>
              <w:sz w:val="18"/>
              <w:szCs w:val="18"/>
            </w:rPr>
          </w:pPr>
          <w:r w:rsidRPr="00A770CA">
            <w:rPr>
              <w:sz w:val="18"/>
              <w:szCs w:val="18"/>
            </w:rPr>
            <w:t>Infolinka: 952 222 222</w:t>
          </w:r>
        </w:p>
        <w:p w14:paraId="1997D3FA" w14:textId="77777777" w:rsidR="00F62A52" w:rsidRPr="00322A4A" w:rsidRDefault="00F62A52" w:rsidP="00DF7A80">
          <w:pPr>
            <w:pStyle w:val="Normlnmini"/>
            <w:ind w:left="300"/>
            <w:rPr>
              <w:b/>
              <w:bCs/>
            </w:rPr>
          </w:pPr>
          <w:r w:rsidRPr="00A770CA">
            <w:rPr>
              <w:b/>
              <w:bCs/>
              <w:sz w:val="18"/>
              <w:szCs w:val="18"/>
            </w:rPr>
            <w:t>www.vzp.cz</w:t>
          </w:r>
        </w:p>
      </w:tc>
      <w:tc>
        <w:tcPr>
          <w:tcW w:w="1701" w:type="dxa"/>
          <w:tcBorders>
            <w:left w:val="single" w:sz="4" w:space="0" w:color="auto"/>
          </w:tcBorders>
          <w:vAlign w:val="center"/>
        </w:tcPr>
        <w:p w14:paraId="73476802" w14:textId="77777777" w:rsidR="00F62A52" w:rsidRDefault="00F62A52" w:rsidP="00DF7A80">
          <w:pPr>
            <w:pStyle w:val="Normlnmini"/>
          </w:pPr>
        </w:p>
      </w:tc>
    </w:tr>
  </w:tbl>
  <w:p w14:paraId="398F7078" w14:textId="7CA6A5C3" w:rsidR="00DF7A80" w:rsidRDefault="003F6E42">
    <w:pPr>
      <w:pStyle w:val="Zpat"/>
    </w:pPr>
    <w:r>
      <w:rPr>
        <w:noProof/>
      </w:rPr>
      <mc:AlternateContent>
        <mc:Choice Requires="wps">
          <w:drawing>
            <wp:anchor distT="45720" distB="45720" distL="114300" distR="114300" simplePos="0" relativeHeight="251659264" behindDoc="0" locked="0" layoutInCell="1" allowOverlap="1" wp14:anchorId="2032313D" wp14:editId="63FF9A63">
              <wp:simplePos x="0" y="0"/>
              <wp:positionH relativeFrom="column">
                <wp:posOffset>2557780</wp:posOffset>
              </wp:positionH>
              <wp:positionV relativeFrom="paragraph">
                <wp:posOffset>-65405</wp:posOffset>
              </wp:positionV>
              <wp:extent cx="3397250" cy="82867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28675"/>
                      </a:xfrm>
                      <a:prstGeom prst="rect">
                        <a:avLst/>
                      </a:prstGeom>
                      <a:solidFill>
                        <a:srgbClr val="FFFFFF"/>
                      </a:solidFill>
                      <a:ln w="9525">
                        <a:noFill/>
                        <a:miter lim="800000"/>
                        <a:headEnd/>
                        <a:tailEnd/>
                      </a:ln>
                    </wps:spPr>
                    <wps:txb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313D" id="_x0000_t202" coordsize="21600,21600" o:spt="202" path="m,l,21600r21600,l21600,xe">
              <v:stroke joinstyle="miter"/>
              <v:path gradientshapeok="t" o:connecttype="rect"/>
            </v:shapetype>
            <v:shape id="Textové pole 2" o:spid="_x0000_s1026" type="#_x0000_t202" style="position:absolute;margin-left:201.4pt;margin-top:-5.15pt;width:267.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" stroked="f">
              <v:textbo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392D2" w14:textId="77777777" w:rsidR="00CF4E86" w:rsidRDefault="00CF4E86" w:rsidP="00844E5F">
      <w:pPr>
        <w:spacing w:before="0" w:line="240" w:lineRule="auto"/>
      </w:pPr>
      <w:r>
        <w:separator/>
      </w:r>
    </w:p>
  </w:footnote>
  <w:footnote w:type="continuationSeparator" w:id="0">
    <w:p w14:paraId="7B32668C" w14:textId="77777777" w:rsidR="00CF4E86" w:rsidRDefault="00CF4E86" w:rsidP="00844E5F">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3F"/>
    <w:rsid w:val="000249DD"/>
    <w:rsid w:val="00082A67"/>
    <w:rsid w:val="000F0D97"/>
    <w:rsid w:val="000F600B"/>
    <w:rsid w:val="00111EF0"/>
    <w:rsid w:val="00117FF2"/>
    <w:rsid w:val="00173A2F"/>
    <w:rsid w:val="00190EE7"/>
    <w:rsid w:val="001C5526"/>
    <w:rsid w:val="00221386"/>
    <w:rsid w:val="002539D7"/>
    <w:rsid w:val="002772A6"/>
    <w:rsid w:val="002A543B"/>
    <w:rsid w:val="002E32D0"/>
    <w:rsid w:val="003160FB"/>
    <w:rsid w:val="00322A4A"/>
    <w:rsid w:val="003341BE"/>
    <w:rsid w:val="00372F77"/>
    <w:rsid w:val="00383732"/>
    <w:rsid w:val="00391204"/>
    <w:rsid w:val="003A15B6"/>
    <w:rsid w:val="003B68FD"/>
    <w:rsid w:val="003D5F56"/>
    <w:rsid w:val="003F2E5F"/>
    <w:rsid w:val="003F6E42"/>
    <w:rsid w:val="004359B2"/>
    <w:rsid w:val="00454E77"/>
    <w:rsid w:val="00455884"/>
    <w:rsid w:val="004675A2"/>
    <w:rsid w:val="004853B1"/>
    <w:rsid w:val="004A77F8"/>
    <w:rsid w:val="004E563A"/>
    <w:rsid w:val="005049CD"/>
    <w:rsid w:val="00507065"/>
    <w:rsid w:val="005161E6"/>
    <w:rsid w:val="00550B65"/>
    <w:rsid w:val="0055776A"/>
    <w:rsid w:val="005735D4"/>
    <w:rsid w:val="005B2294"/>
    <w:rsid w:val="005E3D30"/>
    <w:rsid w:val="00613123"/>
    <w:rsid w:val="006445EF"/>
    <w:rsid w:val="006535BC"/>
    <w:rsid w:val="00666F80"/>
    <w:rsid w:val="00691317"/>
    <w:rsid w:val="00692259"/>
    <w:rsid w:val="006C05CA"/>
    <w:rsid w:val="006E2FF8"/>
    <w:rsid w:val="006F103F"/>
    <w:rsid w:val="00712BC5"/>
    <w:rsid w:val="00773145"/>
    <w:rsid w:val="007E3308"/>
    <w:rsid w:val="00844E5F"/>
    <w:rsid w:val="008823D4"/>
    <w:rsid w:val="00890C93"/>
    <w:rsid w:val="00892F70"/>
    <w:rsid w:val="008D26F1"/>
    <w:rsid w:val="008D3E0A"/>
    <w:rsid w:val="00990166"/>
    <w:rsid w:val="00995BAE"/>
    <w:rsid w:val="009A5375"/>
    <w:rsid w:val="009B432F"/>
    <w:rsid w:val="009C483E"/>
    <w:rsid w:val="009D4881"/>
    <w:rsid w:val="00A34F8C"/>
    <w:rsid w:val="00A35BE7"/>
    <w:rsid w:val="00A371DD"/>
    <w:rsid w:val="00A770CA"/>
    <w:rsid w:val="00AD3AFC"/>
    <w:rsid w:val="00AD4972"/>
    <w:rsid w:val="00AE1614"/>
    <w:rsid w:val="00AE224E"/>
    <w:rsid w:val="00B56260"/>
    <w:rsid w:val="00B63E32"/>
    <w:rsid w:val="00B76A28"/>
    <w:rsid w:val="00B81F16"/>
    <w:rsid w:val="00B90EBA"/>
    <w:rsid w:val="00BB023A"/>
    <w:rsid w:val="00BC0BD9"/>
    <w:rsid w:val="00BE6D66"/>
    <w:rsid w:val="00C04046"/>
    <w:rsid w:val="00CE1A50"/>
    <w:rsid w:val="00CF4E86"/>
    <w:rsid w:val="00D026C0"/>
    <w:rsid w:val="00D14181"/>
    <w:rsid w:val="00D63481"/>
    <w:rsid w:val="00D72CF4"/>
    <w:rsid w:val="00D74502"/>
    <w:rsid w:val="00D9030E"/>
    <w:rsid w:val="00D9066F"/>
    <w:rsid w:val="00DF7A80"/>
    <w:rsid w:val="00E01FD5"/>
    <w:rsid w:val="00E069DE"/>
    <w:rsid w:val="00E511D6"/>
    <w:rsid w:val="00E73E81"/>
    <w:rsid w:val="00F019E9"/>
    <w:rsid w:val="00F62A52"/>
    <w:rsid w:val="00F64632"/>
    <w:rsid w:val="00F82DF0"/>
    <w:rsid w:val="00F8611F"/>
    <w:rsid w:val="00F920F3"/>
    <w:rsid w:val="00FC3E11"/>
    <w:rsid w:val="00FD1615"/>
    <w:rsid w:val="361F1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D11"/>
  <w15:chartTrackingRefBased/>
  <w15:docId w15:val="{D3B81AE3-9E69-7740-8607-5AB4022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2E5F"/>
    <w:pPr>
      <w:spacing w:before="240" w:line="30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E5F"/>
    <w:pPr>
      <w:tabs>
        <w:tab w:val="center" w:pos="4536"/>
        <w:tab w:val="right" w:pos="9072"/>
      </w:tabs>
    </w:pPr>
  </w:style>
  <w:style w:type="character" w:customStyle="1" w:styleId="ZhlavChar">
    <w:name w:val="Záhlaví Char"/>
    <w:basedOn w:val="Standardnpsmoodstavce"/>
    <w:link w:val="Zhlav"/>
    <w:uiPriority w:val="99"/>
    <w:rsid w:val="00844E5F"/>
  </w:style>
  <w:style w:type="paragraph" w:styleId="Zpat">
    <w:name w:val="footer"/>
    <w:basedOn w:val="Normln"/>
    <w:link w:val="ZpatChar"/>
    <w:uiPriority w:val="99"/>
    <w:unhideWhenUsed/>
    <w:rsid w:val="00844E5F"/>
    <w:pPr>
      <w:tabs>
        <w:tab w:val="center" w:pos="4536"/>
        <w:tab w:val="right" w:pos="9072"/>
      </w:tabs>
    </w:pPr>
  </w:style>
  <w:style w:type="character" w:customStyle="1" w:styleId="ZpatChar">
    <w:name w:val="Zápatí Char"/>
    <w:basedOn w:val="Standardnpsmoodstavce"/>
    <w:link w:val="Zpat"/>
    <w:uiPriority w:val="99"/>
    <w:rsid w:val="00844E5F"/>
  </w:style>
  <w:style w:type="table" w:styleId="Mkatabulky">
    <w:name w:val="Table Grid"/>
    <w:basedOn w:val="Normlntabulka"/>
    <w:uiPriority w:val="39"/>
    <w:rsid w:val="0084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mini">
    <w:name w:val="Normální mini"/>
    <w:basedOn w:val="Normln"/>
    <w:qFormat/>
    <w:rsid w:val="003F2E5F"/>
    <w:pPr>
      <w:spacing w:before="0"/>
    </w:pPr>
    <w:rPr>
      <w:sz w:val="16"/>
      <w:szCs w:val="21"/>
    </w:rPr>
  </w:style>
  <w:style w:type="paragraph" w:styleId="Bezmezer">
    <w:name w:val="No Spacing"/>
    <w:uiPriority w:val="1"/>
    <w:qFormat/>
    <w:rsid w:val="003F2E5F"/>
    <w:rPr>
      <w:rFonts w:ascii="Inter" w:hAnsi="Inter"/>
    </w:rPr>
  </w:style>
  <w:style w:type="character" w:styleId="Hypertextovodkaz">
    <w:name w:val="Hyperlink"/>
    <w:basedOn w:val="Standardnpsmoodstavce"/>
    <w:uiPriority w:val="99"/>
    <w:unhideWhenUsed/>
    <w:rsid w:val="00D72CF4"/>
    <w:rPr>
      <w:color w:val="0563C1" w:themeColor="hyperlink"/>
      <w:u w:val="single"/>
    </w:rPr>
  </w:style>
  <w:style w:type="character" w:styleId="Nevyeenzmnka">
    <w:name w:val="Unresolved Mention"/>
    <w:basedOn w:val="Standardnpsmoodstavce"/>
    <w:uiPriority w:val="99"/>
    <w:semiHidden/>
    <w:unhideWhenUsed/>
    <w:rsid w:val="00D72CF4"/>
    <w:rPr>
      <w:color w:val="605E5C"/>
      <w:shd w:val="clear" w:color="auto" w:fill="E1DFDD"/>
    </w:rPr>
  </w:style>
  <w:style w:type="paragraph" w:customStyle="1" w:styleId="Normlnodvolacdaje">
    <w:name w:val="Normální odvolací údaje"/>
    <w:basedOn w:val="Normlnmini"/>
    <w:qFormat/>
    <w:rsid w:val="00AD3AFC"/>
    <w:pPr>
      <w:spacing w:before="40" w:after="20" w:line="240" w:lineRule="auto"/>
    </w:pPr>
    <w:rPr>
      <w:sz w:val="11"/>
      <w:szCs w:val="16"/>
    </w:rPr>
  </w:style>
  <w:style w:type="paragraph" w:customStyle="1" w:styleId="NORMLNkapitlky">
    <w:name w:val="NORMÁLNÍ kapitálky"/>
    <w:basedOn w:val="Normlnmini"/>
    <w:qFormat/>
    <w:rsid w:val="00F62A52"/>
    <w:pPr>
      <w:jc w:val="center"/>
    </w:pPr>
    <w:rPr>
      <w:rFonts w:cs="Times New Roman (Základní text"/>
      <w:color w:val="D22D0F"/>
      <w:spacing w:val="80"/>
    </w:rPr>
  </w:style>
  <w:style w:type="character" w:styleId="Siln">
    <w:name w:val="Strong"/>
    <w:basedOn w:val="Standardnpsmoodstavce"/>
    <w:uiPriority w:val="22"/>
    <w:qFormat/>
    <w:rsid w:val="001C5526"/>
    <w:rPr>
      <w:b/>
      <w:bCs/>
    </w:rPr>
  </w:style>
  <w:style w:type="paragraph" w:styleId="Normlnweb">
    <w:name w:val="Normal (Web)"/>
    <w:basedOn w:val="Normln"/>
    <w:uiPriority w:val="99"/>
    <w:unhideWhenUsed/>
    <w:rsid w:val="00190EE7"/>
    <w:pPr>
      <w:spacing w:before="100" w:beforeAutospacing="1" w:after="100" w:afterAutospacing="1" w:line="240" w:lineRule="auto"/>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78607">
      <w:bodyDiv w:val="1"/>
      <w:marLeft w:val="0"/>
      <w:marRight w:val="0"/>
      <w:marTop w:val="0"/>
      <w:marBottom w:val="0"/>
      <w:divBdr>
        <w:top w:val="none" w:sz="0" w:space="0" w:color="auto"/>
        <w:left w:val="none" w:sz="0" w:space="0" w:color="auto"/>
        <w:bottom w:val="none" w:sz="0" w:space="0" w:color="auto"/>
        <w:right w:val="none" w:sz="0" w:space="0" w:color="auto"/>
      </w:divBdr>
    </w:div>
    <w:div w:id="17823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zp.cz/pojistenci/vyhody-a-prispevky/podpurne-programy/diabetes-mellitu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E9ABBF591A3A4794A55379E00E5E3C" ma:contentTypeVersion="3" ma:contentTypeDescription="Vytvoří nový dokument" ma:contentTypeScope="" ma:versionID="900d34adcc27e1898ef2e075b40f0b88">
  <xsd:schema xmlns:xsd="http://www.w3.org/2001/XMLSchema" xmlns:xs="http://www.w3.org/2001/XMLSchema" xmlns:p="http://schemas.microsoft.com/office/2006/metadata/properties" xmlns:ns2="ed81a986-3a82-4f62-a6e6-21d86e8c1efe" xmlns:ns3="189c7478-f36e-4d06-b026-5479ab3e2b44" targetNamespace="http://schemas.microsoft.com/office/2006/metadata/properties" ma:root="true" ma:fieldsID="a4a26a1ba8c2871d213337479eae35d7" ns2:_="" ns3:_="">
    <xsd:import namespace="ed81a986-3a82-4f62-a6e6-21d86e8c1efe"/>
    <xsd:import namespace="189c7478-f36e-4d06-b026-5479ab3e2b44"/>
    <xsd:element name="properties">
      <xsd:complexType>
        <xsd:sequence>
          <xsd:element name="documentManagement">
            <xsd:complexType>
              <xsd:all>
                <xsd:element ref="ns2:Zodpovi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1a986-3a82-4f62-a6e6-21d86e8c1efe" elementFormDefault="qualified">
    <xsd:import namespace="http://schemas.microsoft.com/office/2006/documentManagement/types"/>
    <xsd:import namespace="http://schemas.microsoft.com/office/infopath/2007/PartnerControls"/>
    <xsd:element name="Zodpovida" ma:index="8" nillable="true" ma:displayName="Zodpovídá" ma:list="UserInfo" ma:SharePointGroup="0" ma:internalName="Zodpovid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odpovida xmlns="ed81a986-3a82-4f62-a6e6-21d86e8c1efe">
      <UserInfo>
        <DisplayName>Váňová Kamila Mgr. (VZP ČR Ústředí)</DisplayName>
        <AccountId>5565</AccountId>
        <AccountType/>
      </UserInfo>
    </Zodpovid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C4FA-E8CE-4941-84E1-C12B5E2E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1a986-3a82-4f62-a6e6-21d86e8c1efe"/>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F4D36-58AF-46D0-B21C-9596F511E800}">
  <ds:schemaRefs>
    <ds:schemaRef ds:uri="http://schemas.microsoft.com/sharepoint/v3/contenttype/forms"/>
  </ds:schemaRefs>
</ds:datastoreItem>
</file>

<file path=customXml/itemProps3.xml><?xml version="1.0" encoding="utf-8"?>
<ds:datastoreItem xmlns:ds="http://schemas.openxmlformats.org/officeDocument/2006/customXml" ds:itemID="{6275A159-1C31-4A9A-AF6C-356BCDB3FB40}">
  <ds:schemaRefs>
    <ds:schemaRef ds:uri="http://schemas.microsoft.com/office/2006/metadata/properties"/>
    <ds:schemaRef ds:uri="http://schemas.microsoft.com/office/infopath/2007/PartnerControls"/>
    <ds:schemaRef ds:uri="ed81a986-3a82-4f62-a6e6-21d86e8c1efe"/>
  </ds:schemaRefs>
</ds:datastoreItem>
</file>

<file path=customXml/itemProps4.xml><?xml version="1.0" encoding="utf-8"?>
<ds:datastoreItem xmlns:ds="http://schemas.openxmlformats.org/officeDocument/2006/customXml" ds:itemID="{A5D6FBAE-910D-4D7D-8326-A4996536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3658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Sixtová Jana Ing. (VZP ČR Ústředí)</dc:creator>
  <cp:keywords/>
  <dc:description/>
  <cp:lastModifiedBy>Sixtová Jana Ing. (VZP ČR Ústředí)</cp:lastModifiedBy>
  <cp:revision>2</cp:revision>
  <cp:lastPrinted>2022-06-14T19:43:00Z</cp:lastPrinted>
  <dcterms:created xsi:type="dcterms:W3CDTF">2024-04-12T06:25:00Z</dcterms:created>
  <dcterms:modified xsi:type="dcterms:W3CDTF">2024-04-12T06:25:00Z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0x010100C3E9ABBF591A3A4794A55379E00E5E3C</vt:lpwstr>
  </property>
</Properties>
</file>