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821F68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821F68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821F68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E1AFC" w:rsidRDefault="004A77F8" w:rsidP="008E1AFC">
      <w:pPr>
        <w:pStyle w:val="Bezmezer"/>
        <w:rPr>
          <w:rFonts w:ascii="Arial" w:hAnsi="Arial"/>
          <w:szCs w:val="20"/>
        </w:rPr>
      </w:pPr>
    </w:p>
    <w:p w14:paraId="06D5D918" w14:textId="54F61EB9" w:rsidR="00AD3AFC" w:rsidRPr="008E1AFC" w:rsidRDefault="00AD3AFC" w:rsidP="008E1AFC">
      <w:pPr>
        <w:pStyle w:val="Bezmezer"/>
        <w:rPr>
          <w:rFonts w:ascii="Arial" w:hAnsi="Arial"/>
          <w:szCs w:val="20"/>
        </w:rPr>
      </w:pPr>
    </w:p>
    <w:p w14:paraId="62ED152C" w14:textId="0142CB8B" w:rsidR="00995BAE" w:rsidRPr="008E1AFC" w:rsidRDefault="00995BAE" w:rsidP="008E1AFC">
      <w:pPr>
        <w:pStyle w:val="Bezmezer"/>
        <w:jc w:val="right"/>
        <w:rPr>
          <w:rFonts w:ascii="Arial" w:hAnsi="Arial"/>
          <w:color w:val="212121"/>
          <w:szCs w:val="20"/>
        </w:rPr>
      </w:pPr>
      <w:r w:rsidRPr="008E1AFC">
        <w:rPr>
          <w:rFonts w:ascii="Arial" w:hAnsi="Arial"/>
          <w:color w:val="212121"/>
          <w:szCs w:val="20"/>
        </w:rPr>
        <w:t xml:space="preserve">Praha </w:t>
      </w:r>
      <w:r w:rsidR="00D86E18">
        <w:rPr>
          <w:rFonts w:ascii="Arial" w:hAnsi="Arial"/>
          <w:color w:val="212121"/>
          <w:szCs w:val="20"/>
        </w:rPr>
        <w:t>12</w:t>
      </w:r>
      <w:r w:rsidR="00CD0A20" w:rsidRPr="008E1AFC">
        <w:rPr>
          <w:rFonts w:ascii="Arial" w:hAnsi="Arial"/>
          <w:color w:val="212121"/>
          <w:szCs w:val="20"/>
        </w:rPr>
        <w:t xml:space="preserve">. </w:t>
      </w:r>
      <w:r w:rsidR="003D2F51" w:rsidRPr="008E1AFC">
        <w:rPr>
          <w:rFonts w:ascii="Arial" w:hAnsi="Arial"/>
          <w:color w:val="212121"/>
          <w:szCs w:val="20"/>
        </w:rPr>
        <w:t>1</w:t>
      </w:r>
      <w:r w:rsidR="00D86E18">
        <w:rPr>
          <w:rFonts w:ascii="Arial" w:hAnsi="Arial"/>
          <w:color w:val="212121"/>
          <w:szCs w:val="20"/>
        </w:rPr>
        <w:t>2</w:t>
      </w:r>
      <w:r w:rsidR="00CD0A20" w:rsidRPr="008E1AFC">
        <w:rPr>
          <w:rFonts w:ascii="Arial" w:hAnsi="Arial"/>
          <w:color w:val="212121"/>
          <w:szCs w:val="20"/>
        </w:rPr>
        <w:t xml:space="preserve">. </w:t>
      </w:r>
      <w:r w:rsidRPr="008E1AFC">
        <w:rPr>
          <w:rFonts w:ascii="Arial" w:hAnsi="Arial"/>
          <w:color w:val="212121"/>
          <w:szCs w:val="20"/>
        </w:rPr>
        <w:t>202</w:t>
      </w:r>
      <w:r w:rsidR="00D9066F" w:rsidRPr="008E1AFC">
        <w:rPr>
          <w:rFonts w:ascii="Arial" w:hAnsi="Arial"/>
          <w:color w:val="212121"/>
          <w:szCs w:val="20"/>
        </w:rPr>
        <w:t>3</w:t>
      </w:r>
    </w:p>
    <w:p w14:paraId="1E472709" w14:textId="6A2FA6CB" w:rsidR="00CC6E33" w:rsidRDefault="00CC6E33" w:rsidP="00AB0813">
      <w:pPr>
        <w:pStyle w:val="Bezmezer"/>
        <w:spacing w:line="276" w:lineRule="auto"/>
        <w:jc w:val="both"/>
        <w:rPr>
          <w:rFonts w:ascii="Arial" w:hAnsi="Arial"/>
          <w:b/>
          <w:szCs w:val="20"/>
        </w:rPr>
      </w:pPr>
    </w:p>
    <w:p w14:paraId="26B39591" w14:textId="77777777" w:rsidR="00D86E18" w:rsidRPr="001B16D3" w:rsidRDefault="00D86E18" w:rsidP="00D86E18">
      <w:pPr>
        <w:jc w:val="both"/>
        <w:rPr>
          <w:b/>
          <w:bCs/>
          <w:color w:val="D22D0F"/>
          <w:sz w:val="28"/>
        </w:rPr>
      </w:pPr>
      <w:r w:rsidRPr="001B16D3">
        <w:rPr>
          <w:b/>
          <w:bCs/>
          <w:color w:val="D22D0F"/>
          <w:sz w:val="28"/>
        </w:rPr>
        <w:t>Vysoký krevní tlak trápí víc než milion klientů VZP</w:t>
      </w:r>
    </w:p>
    <w:p w14:paraId="316A3F43" w14:textId="77777777" w:rsidR="00D86E18" w:rsidRPr="001B16D3" w:rsidRDefault="00D86E18" w:rsidP="00D86E18">
      <w:pPr>
        <w:spacing w:before="0" w:line="276" w:lineRule="auto"/>
        <w:jc w:val="both"/>
        <w:rPr>
          <w:b/>
          <w:sz w:val="24"/>
        </w:rPr>
      </w:pPr>
    </w:p>
    <w:p w14:paraId="527D9F56" w14:textId="7A873E34" w:rsidR="00D86E18" w:rsidRPr="001B16D3" w:rsidRDefault="00D86E18" w:rsidP="00D86E18">
      <w:pPr>
        <w:spacing w:before="0" w:line="276" w:lineRule="auto"/>
        <w:jc w:val="both"/>
        <w:rPr>
          <w:b/>
          <w:szCs w:val="20"/>
        </w:rPr>
      </w:pPr>
      <w:r w:rsidRPr="001B16D3">
        <w:rPr>
          <w:b/>
          <w:szCs w:val="20"/>
        </w:rPr>
        <w:t>Hypertenzi, tedy vysoký krevní tlak, lze považovat za jednu z civilizačních chorob, které lze ovšem v 90 % předcházet zdravým životním stylem. Vloni se s vysokým krevním tlakem léčilo přes 1,2 milionů klientů VZP a jejich léčba stála 3,6 miliardy korun. V nákladech přitom není zahrnuta léčba dalších souvisejících nemocí.</w:t>
      </w:r>
    </w:p>
    <w:p w14:paraId="0CCF4947" w14:textId="77777777" w:rsidR="00D86E18" w:rsidRPr="001B16D3" w:rsidRDefault="00D86E18" w:rsidP="00D86E18">
      <w:pPr>
        <w:spacing w:before="0" w:line="276" w:lineRule="auto"/>
        <w:jc w:val="both"/>
        <w:rPr>
          <w:szCs w:val="20"/>
        </w:rPr>
      </w:pPr>
    </w:p>
    <w:p w14:paraId="385680E8" w14:textId="5B982CB7" w:rsidR="00D86E18" w:rsidRDefault="00D86E18" w:rsidP="00D86E18">
      <w:pPr>
        <w:spacing w:before="0" w:line="276" w:lineRule="auto"/>
        <w:jc w:val="both"/>
        <w:rPr>
          <w:szCs w:val="20"/>
        </w:rPr>
      </w:pPr>
      <w:r w:rsidRPr="001B16D3">
        <w:rPr>
          <w:szCs w:val="20"/>
        </w:rPr>
        <w:t xml:space="preserve">Hypertenze je často ze strany pacienta podceňována, neboť prvotní příznaky nemusí být zřejmé několik let. Neléčený vysoký krevní tlak může mít i fatální následky v podobě mrtvice či infarktu a zvýšené je také riziko demence.   </w:t>
      </w:r>
    </w:p>
    <w:p w14:paraId="77F84444" w14:textId="77777777" w:rsidR="00CF7D7E" w:rsidRPr="001B16D3" w:rsidRDefault="00CF7D7E" w:rsidP="00D86E18">
      <w:pPr>
        <w:spacing w:before="0" w:line="276" w:lineRule="auto"/>
        <w:jc w:val="both"/>
        <w:rPr>
          <w:szCs w:val="20"/>
        </w:rPr>
      </w:pPr>
    </w:p>
    <w:p w14:paraId="699C15E0" w14:textId="77777777" w:rsidR="00D86E18" w:rsidRPr="001B16D3" w:rsidRDefault="00D86E18" w:rsidP="00D86E18">
      <w:pPr>
        <w:spacing w:before="0" w:line="276" w:lineRule="auto"/>
        <w:jc w:val="both"/>
        <w:rPr>
          <w:szCs w:val="20"/>
        </w:rPr>
      </w:pPr>
      <w:r w:rsidRPr="001B16D3">
        <w:rPr>
          <w:szCs w:val="20"/>
        </w:rPr>
        <w:t>Pro odhalení vysokého tlaku a případné včasné zahájení léčby mají zásadní význam preventivní prohlídky u praktického lékaře. Jejich součástí je právě i měření tlaku. Správná léčba vysokého tlaku je velmi důležitá, protože vede k prevenci vzniku závažných onemocnění.</w:t>
      </w:r>
    </w:p>
    <w:p w14:paraId="7782FBD9" w14:textId="77777777" w:rsidR="00D86E18" w:rsidRPr="001B16D3" w:rsidRDefault="00D86E18" w:rsidP="00D86E18">
      <w:pPr>
        <w:spacing w:before="0" w:line="276" w:lineRule="auto"/>
        <w:rPr>
          <w:b/>
          <w:szCs w:val="20"/>
        </w:rPr>
      </w:pPr>
    </w:p>
    <w:p w14:paraId="24002B29" w14:textId="073AD827" w:rsidR="00D86E18" w:rsidRPr="001B16D3" w:rsidRDefault="00D86E18" w:rsidP="00D86E18">
      <w:pPr>
        <w:spacing w:before="0" w:line="276" w:lineRule="auto"/>
        <w:rPr>
          <w:b/>
          <w:szCs w:val="20"/>
        </w:rPr>
      </w:pPr>
      <w:r w:rsidRPr="001B16D3">
        <w:rPr>
          <w:b/>
          <w:szCs w:val="20"/>
        </w:rPr>
        <w:t>Náklady v tis. Kč a počty pacientů s hypertenzí (hlavní diagnóza) v letech 2018-2022</w:t>
      </w:r>
    </w:p>
    <w:tbl>
      <w:tblPr>
        <w:tblStyle w:val="Mkatabulky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63"/>
        <w:gridCol w:w="2328"/>
        <w:gridCol w:w="2303"/>
      </w:tblGrid>
      <w:tr w:rsidR="00D86E18" w:rsidRPr="001B16D3" w14:paraId="0523DC00" w14:textId="77777777" w:rsidTr="00223DD0">
        <w:trPr>
          <w:jc w:val="center"/>
        </w:trPr>
        <w:tc>
          <w:tcPr>
            <w:tcW w:w="2063" w:type="dxa"/>
            <w:shd w:val="clear" w:color="auto" w:fill="C0504D"/>
          </w:tcPr>
          <w:p w14:paraId="3584963E" w14:textId="77777777" w:rsidR="00D86E18" w:rsidRPr="001B16D3" w:rsidRDefault="00D86E18" w:rsidP="00D86E18">
            <w:pPr>
              <w:spacing w:before="0" w:line="276" w:lineRule="auto"/>
              <w:jc w:val="center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Rok</w:t>
            </w:r>
          </w:p>
        </w:tc>
        <w:tc>
          <w:tcPr>
            <w:tcW w:w="2328" w:type="dxa"/>
            <w:shd w:val="clear" w:color="auto" w:fill="C0504D"/>
          </w:tcPr>
          <w:p w14:paraId="3A8493E7" w14:textId="77777777" w:rsidR="00D86E18" w:rsidRPr="001B16D3" w:rsidRDefault="00D86E18" w:rsidP="00D86E18">
            <w:pPr>
              <w:spacing w:before="0" w:line="276" w:lineRule="auto"/>
              <w:jc w:val="center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Počet pacientů</w:t>
            </w:r>
          </w:p>
        </w:tc>
        <w:tc>
          <w:tcPr>
            <w:tcW w:w="2303" w:type="dxa"/>
            <w:shd w:val="clear" w:color="auto" w:fill="C0504D"/>
          </w:tcPr>
          <w:p w14:paraId="0B2AD46C" w14:textId="77777777" w:rsidR="00D86E18" w:rsidRPr="001B16D3" w:rsidRDefault="00D86E18" w:rsidP="00D86E18">
            <w:pPr>
              <w:spacing w:before="0" w:line="276" w:lineRule="auto"/>
              <w:jc w:val="center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Celkové náklady v tis. Kč</w:t>
            </w:r>
          </w:p>
        </w:tc>
      </w:tr>
      <w:tr w:rsidR="00D86E18" w:rsidRPr="001B16D3" w14:paraId="525E9597" w14:textId="77777777" w:rsidTr="00223DD0">
        <w:trPr>
          <w:jc w:val="center"/>
        </w:trPr>
        <w:tc>
          <w:tcPr>
            <w:tcW w:w="2063" w:type="dxa"/>
            <w:shd w:val="clear" w:color="auto" w:fill="C0504D"/>
          </w:tcPr>
          <w:p w14:paraId="4BBB9848" w14:textId="77777777" w:rsidR="00D86E18" w:rsidRPr="001B16D3" w:rsidRDefault="00D86E18" w:rsidP="00D86E18">
            <w:pPr>
              <w:spacing w:before="0" w:line="276" w:lineRule="auto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2328" w:type="dxa"/>
            <w:shd w:val="clear" w:color="auto" w:fill="DFA7A6"/>
            <w:vAlign w:val="center"/>
          </w:tcPr>
          <w:p w14:paraId="76CDE968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1 116 967</w:t>
            </w:r>
          </w:p>
        </w:tc>
        <w:tc>
          <w:tcPr>
            <w:tcW w:w="2303" w:type="dxa"/>
            <w:shd w:val="clear" w:color="auto" w:fill="DFA7A6"/>
            <w:vAlign w:val="center"/>
          </w:tcPr>
          <w:p w14:paraId="54802029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2 839 100</w:t>
            </w:r>
          </w:p>
        </w:tc>
      </w:tr>
      <w:tr w:rsidR="00D86E18" w:rsidRPr="001B16D3" w14:paraId="1E4AE72B" w14:textId="77777777" w:rsidTr="00223DD0">
        <w:trPr>
          <w:jc w:val="center"/>
        </w:trPr>
        <w:tc>
          <w:tcPr>
            <w:tcW w:w="2063" w:type="dxa"/>
            <w:shd w:val="clear" w:color="auto" w:fill="C0504D"/>
          </w:tcPr>
          <w:p w14:paraId="119DB3C0" w14:textId="77777777" w:rsidR="00D86E18" w:rsidRPr="001B16D3" w:rsidRDefault="00D86E18" w:rsidP="00D86E18">
            <w:pPr>
              <w:spacing w:before="0" w:line="276" w:lineRule="auto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2019</w:t>
            </w:r>
          </w:p>
        </w:tc>
        <w:tc>
          <w:tcPr>
            <w:tcW w:w="2328" w:type="dxa"/>
            <w:shd w:val="clear" w:color="auto" w:fill="EFD3D2"/>
            <w:vAlign w:val="center"/>
          </w:tcPr>
          <w:p w14:paraId="6A0583D2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1 194 913</w:t>
            </w:r>
          </w:p>
        </w:tc>
        <w:tc>
          <w:tcPr>
            <w:tcW w:w="2303" w:type="dxa"/>
            <w:shd w:val="clear" w:color="auto" w:fill="EFD3D2"/>
            <w:vAlign w:val="center"/>
          </w:tcPr>
          <w:p w14:paraId="709EFC88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3 010 457</w:t>
            </w:r>
          </w:p>
        </w:tc>
      </w:tr>
      <w:tr w:rsidR="00D86E18" w:rsidRPr="001B16D3" w14:paraId="6BDE0586" w14:textId="77777777" w:rsidTr="00223DD0">
        <w:trPr>
          <w:jc w:val="center"/>
        </w:trPr>
        <w:tc>
          <w:tcPr>
            <w:tcW w:w="2063" w:type="dxa"/>
            <w:shd w:val="clear" w:color="auto" w:fill="C0504D"/>
          </w:tcPr>
          <w:p w14:paraId="3A93168B" w14:textId="77777777" w:rsidR="00D86E18" w:rsidRPr="001B16D3" w:rsidRDefault="00D86E18" w:rsidP="00D86E18">
            <w:pPr>
              <w:spacing w:before="0" w:line="276" w:lineRule="auto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2020</w:t>
            </w:r>
          </w:p>
        </w:tc>
        <w:tc>
          <w:tcPr>
            <w:tcW w:w="2328" w:type="dxa"/>
            <w:shd w:val="clear" w:color="auto" w:fill="DFA7A6"/>
            <w:vAlign w:val="center"/>
          </w:tcPr>
          <w:p w14:paraId="37D495A2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1 306 407</w:t>
            </w:r>
          </w:p>
        </w:tc>
        <w:tc>
          <w:tcPr>
            <w:tcW w:w="2303" w:type="dxa"/>
            <w:shd w:val="clear" w:color="auto" w:fill="DFA7A6"/>
            <w:vAlign w:val="center"/>
          </w:tcPr>
          <w:p w14:paraId="717D3819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3 453 234</w:t>
            </w:r>
          </w:p>
        </w:tc>
      </w:tr>
      <w:tr w:rsidR="00D86E18" w:rsidRPr="001B16D3" w14:paraId="439B5824" w14:textId="77777777" w:rsidTr="00223DD0">
        <w:trPr>
          <w:jc w:val="center"/>
        </w:trPr>
        <w:tc>
          <w:tcPr>
            <w:tcW w:w="2063" w:type="dxa"/>
            <w:shd w:val="clear" w:color="auto" w:fill="C0504D"/>
          </w:tcPr>
          <w:p w14:paraId="3F86DBFE" w14:textId="77777777" w:rsidR="00D86E18" w:rsidRPr="001B16D3" w:rsidRDefault="00D86E18" w:rsidP="00D86E18">
            <w:pPr>
              <w:spacing w:before="0" w:line="276" w:lineRule="auto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2021</w:t>
            </w:r>
          </w:p>
        </w:tc>
        <w:tc>
          <w:tcPr>
            <w:tcW w:w="2328" w:type="dxa"/>
            <w:shd w:val="clear" w:color="auto" w:fill="EFD3D2"/>
            <w:vAlign w:val="center"/>
          </w:tcPr>
          <w:p w14:paraId="33B271EC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1 237 031</w:t>
            </w:r>
          </w:p>
        </w:tc>
        <w:tc>
          <w:tcPr>
            <w:tcW w:w="2303" w:type="dxa"/>
            <w:shd w:val="clear" w:color="auto" w:fill="EFD3D2"/>
            <w:vAlign w:val="center"/>
          </w:tcPr>
          <w:p w14:paraId="5FC92B9F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3 414 546</w:t>
            </w:r>
          </w:p>
        </w:tc>
      </w:tr>
      <w:tr w:rsidR="00D86E18" w:rsidRPr="001B16D3" w14:paraId="1AF15D41" w14:textId="77777777" w:rsidTr="00223DD0">
        <w:trPr>
          <w:jc w:val="center"/>
        </w:trPr>
        <w:tc>
          <w:tcPr>
            <w:tcW w:w="2063" w:type="dxa"/>
            <w:shd w:val="clear" w:color="auto" w:fill="C0504D"/>
          </w:tcPr>
          <w:p w14:paraId="39912DB4" w14:textId="77777777" w:rsidR="00D86E18" w:rsidRPr="001B16D3" w:rsidRDefault="00D86E18" w:rsidP="00D86E18">
            <w:pPr>
              <w:spacing w:before="0" w:line="276" w:lineRule="auto"/>
              <w:rPr>
                <w:color w:val="FFFFFF" w:themeColor="background1"/>
                <w:szCs w:val="20"/>
              </w:rPr>
            </w:pPr>
            <w:r w:rsidRPr="001B16D3">
              <w:rPr>
                <w:color w:val="FFFFFF" w:themeColor="background1"/>
                <w:szCs w:val="20"/>
              </w:rPr>
              <w:t>2022</w:t>
            </w:r>
          </w:p>
        </w:tc>
        <w:tc>
          <w:tcPr>
            <w:tcW w:w="2328" w:type="dxa"/>
            <w:shd w:val="clear" w:color="auto" w:fill="DFA7A6"/>
            <w:vAlign w:val="center"/>
          </w:tcPr>
          <w:p w14:paraId="119316F4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1 246 516</w:t>
            </w:r>
          </w:p>
        </w:tc>
        <w:tc>
          <w:tcPr>
            <w:tcW w:w="2303" w:type="dxa"/>
            <w:shd w:val="clear" w:color="auto" w:fill="DFA7A6"/>
            <w:vAlign w:val="center"/>
          </w:tcPr>
          <w:p w14:paraId="52E449D5" w14:textId="77777777" w:rsidR="00D86E18" w:rsidRPr="001B16D3" w:rsidRDefault="00D86E18" w:rsidP="00D86E18">
            <w:pPr>
              <w:spacing w:before="0" w:line="276" w:lineRule="auto"/>
              <w:jc w:val="right"/>
              <w:rPr>
                <w:bCs/>
                <w:color w:val="000000"/>
                <w:szCs w:val="20"/>
              </w:rPr>
            </w:pPr>
            <w:r w:rsidRPr="001B16D3">
              <w:rPr>
                <w:bCs/>
                <w:color w:val="000000"/>
                <w:szCs w:val="20"/>
              </w:rPr>
              <w:t>3 684 349</w:t>
            </w:r>
          </w:p>
        </w:tc>
      </w:tr>
    </w:tbl>
    <w:p w14:paraId="3893372B" w14:textId="77777777" w:rsidR="00D86E18" w:rsidRPr="001B16D3" w:rsidRDefault="00D86E18" w:rsidP="00D86E18">
      <w:pPr>
        <w:spacing w:before="0" w:line="276" w:lineRule="auto"/>
        <w:rPr>
          <w:szCs w:val="20"/>
        </w:rPr>
      </w:pPr>
    </w:p>
    <w:p w14:paraId="02B83B13" w14:textId="7704B00F" w:rsidR="00D86E18" w:rsidRPr="001B16D3" w:rsidRDefault="00D86E18" w:rsidP="00D86E18">
      <w:pPr>
        <w:spacing w:before="0" w:line="276" w:lineRule="auto"/>
        <w:jc w:val="both"/>
        <w:rPr>
          <w:color w:val="212121"/>
          <w:szCs w:val="20"/>
          <w:shd w:val="clear" w:color="auto" w:fill="FFFFFF"/>
        </w:rPr>
      </w:pPr>
      <w:r w:rsidRPr="001B16D3">
        <w:rPr>
          <w:color w:val="212121"/>
          <w:szCs w:val="20"/>
          <w:shd w:val="clear" w:color="auto" w:fill="FFFFFF"/>
        </w:rPr>
        <w:t xml:space="preserve">Nejvíce klientů pacientů s hypertenzí se léčilo v Praze, Středočeském a Jihomoravském kraji. </w:t>
      </w:r>
    </w:p>
    <w:p w14:paraId="09E335F3" w14:textId="77777777" w:rsidR="00D86E18" w:rsidRPr="001B16D3" w:rsidRDefault="00D86E18" w:rsidP="00D86E18">
      <w:pPr>
        <w:spacing w:before="0" w:line="276" w:lineRule="auto"/>
        <w:jc w:val="both"/>
        <w:rPr>
          <w:color w:val="212121"/>
          <w:szCs w:val="20"/>
          <w:shd w:val="clear" w:color="auto" w:fill="FFFFFF"/>
        </w:rPr>
      </w:pPr>
    </w:p>
    <w:p w14:paraId="70BF0232" w14:textId="6C99608D" w:rsidR="00D86E18" w:rsidRPr="001B16D3" w:rsidRDefault="00D86E18" w:rsidP="00D86E18">
      <w:pPr>
        <w:spacing w:before="0" w:line="276" w:lineRule="auto"/>
        <w:jc w:val="both"/>
        <w:rPr>
          <w:color w:val="212121"/>
          <w:szCs w:val="20"/>
          <w:shd w:val="clear" w:color="auto" w:fill="FFFFFF"/>
        </w:rPr>
      </w:pPr>
      <w:r w:rsidRPr="001B16D3">
        <w:rPr>
          <w:color w:val="212121"/>
          <w:szCs w:val="20"/>
          <w:shd w:val="clear" w:color="auto" w:fill="FFFFFF"/>
        </w:rPr>
        <w:t>V uváděných nákladech nejsou započteny náklady na léčbu nemocí, které hypertenze může dále způsobovat. Neléčený vysoký krevní tlak je totiž v přímé souvislosti s vývojem dalších onemocnění oběhové soustavy, jako jsou ateroskleróza, cévní mozkové příhody, ischemická choroba srdeční a další. Například cévní mozkové příhody pak stojí pojišťovnu dalších 2 miliardy korun, péče o pacienty s infarkty bezmála 1,2 miliardy (údaje z roku 2021) atd.</w:t>
      </w:r>
    </w:p>
    <w:p w14:paraId="5319E0AE" w14:textId="77777777" w:rsidR="00D86E18" w:rsidRPr="001B16D3" w:rsidRDefault="00D86E18" w:rsidP="00D86E18">
      <w:pPr>
        <w:spacing w:before="0" w:line="276" w:lineRule="auto"/>
        <w:jc w:val="both"/>
        <w:rPr>
          <w:color w:val="212121"/>
          <w:szCs w:val="20"/>
          <w:shd w:val="clear" w:color="auto" w:fill="FFFFFF"/>
        </w:rPr>
      </w:pPr>
    </w:p>
    <w:p w14:paraId="6AC41E24" w14:textId="77777777" w:rsidR="00D86E18" w:rsidRPr="001B16D3" w:rsidRDefault="00D86E18" w:rsidP="00D86E18">
      <w:pPr>
        <w:spacing w:before="0" w:line="276" w:lineRule="auto"/>
        <w:jc w:val="both"/>
        <w:rPr>
          <w:color w:val="212121"/>
          <w:szCs w:val="20"/>
          <w:shd w:val="clear" w:color="auto" w:fill="FFFFFF"/>
        </w:rPr>
      </w:pPr>
      <w:r w:rsidRPr="001B16D3">
        <w:rPr>
          <w:color w:val="212121"/>
          <w:szCs w:val="20"/>
          <w:shd w:val="clear" w:color="auto" w:fill="FFFFFF"/>
        </w:rPr>
        <w:t xml:space="preserve">Rizikové faktory pro vznik vysokého krevního tlaku můžeme rozdělit na ty, které nelze ovlivnit (věk, pohlaví, dědičnost, některá jiná onemocnění), a na ty, které je v našich silách korigovat (obezita, kouření, alkohol, nadměrné solení, stres). Klientům, kteří se chtějí hypertenze vyvarovat, nabízí VZP každoročně </w:t>
      </w:r>
      <w:r w:rsidRPr="001B16D3">
        <w:rPr>
          <w:szCs w:val="20"/>
          <w:shd w:val="clear" w:color="auto" w:fill="FFFFFF"/>
        </w:rPr>
        <w:t>příspěvky na prevenci,</w:t>
      </w:r>
      <w:r w:rsidRPr="001B16D3">
        <w:rPr>
          <w:color w:val="212121"/>
          <w:szCs w:val="20"/>
          <w:shd w:val="clear" w:color="auto" w:fill="FFFFFF"/>
        </w:rPr>
        <w:t xml:space="preserve"> jako je například pravidelná pohybová aktivita či odvykání kouření. O novinkách ve Fondu prevence na rok 2024 jsme psali </w:t>
      </w:r>
      <w:hyperlink r:id="rId11" w:history="1">
        <w:r w:rsidRPr="001B16D3">
          <w:rPr>
            <w:rStyle w:val="Hypertextovodkaz"/>
            <w:szCs w:val="20"/>
            <w:shd w:val="clear" w:color="auto" w:fill="FFFFFF"/>
          </w:rPr>
          <w:t>zde</w:t>
        </w:r>
      </w:hyperlink>
      <w:r w:rsidRPr="001B16D3">
        <w:rPr>
          <w:color w:val="212121"/>
          <w:szCs w:val="20"/>
          <w:shd w:val="clear" w:color="auto" w:fill="FFFFFF"/>
        </w:rPr>
        <w:t xml:space="preserve">. </w:t>
      </w:r>
    </w:p>
    <w:p w14:paraId="00C54417" w14:textId="77777777" w:rsidR="00D86E18" w:rsidRPr="001B16D3" w:rsidRDefault="00D86E18" w:rsidP="00D86E18">
      <w:pPr>
        <w:keepNext/>
        <w:spacing w:before="0" w:line="276" w:lineRule="auto"/>
        <w:jc w:val="both"/>
        <w:rPr>
          <w:szCs w:val="20"/>
        </w:rPr>
      </w:pPr>
      <w:r w:rsidRPr="001B16D3">
        <w:rPr>
          <w:szCs w:val="20"/>
        </w:rPr>
        <w:lastRenderedPageBreak/>
        <w:t>Fakta o vysokém tlaku*:</w:t>
      </w:r>
    </w:p>
    <w:p w14:paraId="2AD1E752" w14:textId="77777777" w:rsidR="00D86E18" w:rsidRPr="001B16D3" w:rsidRDefault="00D86E18" w:rsidP="00D86E18">
      <w:pPr>
        <w:pStyle w:val="Odstavecseseznamem"/>
        <w:keepNext/>
        <w:numPr>
          <w:ilvl w:val="0"/>
          <w:numId w:val="6"/>
        </w:numPr>
        <w:spacing w:before="0" w:line="276" w:lineRule="auto"/>
        <w:ind w:left="426"/>
        <w:jc w:val="both"/>
        <w:rPr>
          <w:szCs w:val="20"/>
        </w:rPr>
      </w:pPr>
      <w:r w:rsidRPr="001B16D3">
        <w:rPr>
          <w:szCs w:val="20"/>
        </w:rPr>
        <w:t>Zdravý člověk by měl mít krevní tlak při měření u lékaře pod 140/90 a při měření doma pod 135/85.</w:t>
      </w:r>
    </w:p>
    <w:p w14:paraId="51A3FAC6" w14:textId="77777777" w:rsidR="00D86E18" w:rsidRPr="001B16D3" w:rsidRDefault="00D86E18" w:rsidP="00D86E18">
      <w:pPr>
        <w:pStyle w:val="Odstavecseseznamem"/>
        <w:keepNext/>
        <w:numPr>
          <w:ilvl w:val="0"/>
          <w:numId w:val="6"/>
        </w:numPr>
        <w:spacing w:before="0" w:line="276" w:lineRule="auto"/>
        <w:ind w:left="426"/>
        <w:jc w:val="both"/>
        <w:rPr>
          <w:szCs w:val="20"/>
        </w:rPr>
      </w:pPr>
      <w:r w:rsidRPr="001B16D3">
        <w:rPr>
          <w:szCs w:val="20"/>
        </w:rPr>
        <w:t>Pravděpodobnost hypertenze roste s věkem, ale např. i s onemocněním cukrovkou.</w:t>
      </w:r>
    </w:p>
    <w:p w14:paraId="1AD855F0" w14:textId="77777777" w:rsidR="00D86E18" w:rsidRPr="001B16D3" w:rsidRDefault="00D86E18" w:rsidP="00D86E18">
      <w:pPr>
        <w:pStyle w:val="Odstavecseseznamem"/>
        <w:keepNext/>
        <w:numPr>
          <w:ilvl w:val="0"/>
          <w:numId w:val="6"/>
        </w:numPr>
        <w:spacing w:before="0" w:line="276" w:lineRule="auto"/>
        <w:ind w:left="426"/>
        <w:jc w:val="both"/>
        <w:rPr>
          <w:szCs w:val="20"/>
        </w:rPr>
      </w:pPr>
      <w:r w:rsidRPr="001B16D3">
        <w:rPr>
          <w:szCs w:val="20"/>
        </w:rPr>
        <w:t>Některé faktory způsobující hypertenzi nelze ovlivnit: věk a rodinnou zátěž.</w:t>
      </w:r>
    </w:p>
    <w:p w14:paraId="78658571" w14:textId="77777777" w:rsidR="00D86E18" w:rsidRPr="001B16D3" w:rsidRDefault="00D86E18" w:rsidP="00D86E18">
      <w:pPr>
        <w:pStyle w:val="Odstavecseseznamem"/>
        <w:keepNext/>
        <w:numPr>
          <w:ilvl w:val="0"/>
          <w:numId w:val="6"/>
        </w:numPr>
        <w:spacing w:before="0" w:line="276" w:lineRule="auto"/>
        <w:ind w:left="426"/>
        <w:jc w:val="both"/>
        <w:rPr>
          <w:szCs w:val="20"/>
        </w:rPr>
      </w:pPr>
      <w:r w:rsidRPr="001B16D3">
        <w:rPr>
          <w:szCs w:val="20"/>
        </w:rPr>
        <w:t>Jiné faktory ovlivnit lze: konzumaci nezdravých jídel, kouření, nadměrné pití alkoholu, nedostatek pohybu, obezitu, chronický stres apod.</w:t>
      </w:r>
    </w:p>
    <w:p w14:paraId="69BD3529" w14:textId="77777777" w:rsidR="00D86E18" w:rsidRPr="001B16D3" w:rsidRDefault="00D86E18" w:rsidP="00D86E18">
      <w:pPr>
        <w:pStyle w:val="Odstavecseseznamem"/>
        <w:keepNext/>
        <w:numPr>
          <w:ilvl w:val="0"/>
          <w:numId w:val="6"/>
        </w:numPr>
        <w:spacing w:before="0" w:line="276" w:lineRule="auto"/>
        <w:ind w:left="426"/>
        <w:jc w:val="both"/>
        <w:rPr>
          <w:szCs w:val="20"/>
        </w:rPr>
      </w:pPr>
      <w:r w:rsidRPr="001B16D3">
        <w:rPr>
          <w:szCs w:val="20"/>
        </w:rPr>
        <w:t>Pokud máte tlak nad 140/90, hrozí vám cévní mozková příhoda, infarkt myokardu, srdeční selhání, demence, poškození funkce ledvin, zhoršení zraku, poruchy erekce.</w:t>
      </w:r>
    </w:p>
    <w:p w14:paraId="45EDD8CE" w14:textId="1AAD6281" w:rsidR="00B81CA4" w:rsidRPr="001B16D3" w:rsidRDefault="00D86E18" w:rsidP="00D86E18">
      <w:pPr>
        <w:pStyle w:val="Bezmezer"/>
        <w:spacing w:line="276" w:lineRule="auto"/>
        <w:jc w:val="both"/>
        <w:rPr>
          <w:rFonts w:ascii="Arial" w:hAnsi="Arial"/>
          <w:sz w:val="16"/>
          <w:szCs w:val="20"/>
        </w:rPr>
      </w:pPr>
      <w:r w:rsidRPr="001B16D3">
        <w:rPr>
          <w:rFonts w:ascii="Arial" w:hAnsi="Arial"/>
        </w:rPr>
        <w:t xml:space="preserve">*Zdroj: </w:t>
      </w:r>
      <w:hyperlink r:id="rId12" w:history="1">
        <w:r w:rsidRPr="001B16D3">
          <w:rPr>
            <w:rStyle w:val="Hypertextovodkaz"/>
            <w:rFonts w:ascii="Arial" w:hAnsi="Arial"/>
          </w:rPr>
          <w:t>Česká společnost pro hypertenzi</w:t>
        </w:r>
      </w:hyperlink>
    </w:p>
    <w:p w14:paraId="5B1B2DD8" w14:textId="77777777" w:rsidR="008E1AFC" w:rsidRPr="001B16D3" w:rsidRDefault="008E1AFC" w:rsidP="00DF63DA">
      <w:pPr>
        <w:pStyle w:val="Bezmezer"/>
        <w:spacing w:line="276" w:lineRule="auto"/>
        <w:jc w:val="both"/>
        <w:rPr>
          <w:rFonts w:ascii="Arial" w:hAnsi="Arial"/>
          <w:szCs w:val="20"/>
        </w:rPr>
      </w:pPr>
    </w:p>
    <w:p w14:paraId="53F53238" w14:textId="77777777" w:rsidR="00803E91" w:rsidRDefault="00803E91" w:rsidP="008E1AFC">
      <w:pPr>
        <w:pStyle w:val="Bezmezer"/>
        <w:spacing w:line="276" w:lineRule="auto"/>
        <w:jc w:val="both"/>
        <w:rPr>
          <w:rFonts w:ascii="Arial" w:hAnsi="Arial"/>
          <w:b/>
          <w:bCs/>
          <w:szCs w:val="20"/>
        </w:rPr>
      </w:pPr>
    </w:p>
    <w:p w14:paraId="785666A7" w14:textId="40F6B7C7" w:rsidR="008E1AFC" w:rsidRPr="001B16D3" w:rsidRDefault="00526A50" w:rsidP="008E1AFC">
      <w:pPr>
        <w:pStyle w:val="Bezmezer"/>
        <w:spacing w:line="276" w:lineRule="auto"/>
        <w:jc w:val="both"/>
        <w:rPr>
          <w:rFonts w:ascii="Arial" w:hAnsi="Arial"/>
          <w:b/>
          <w:bCs/>
          <w:szCs w:val="20"/>
        </w:rPr>
      </w:pPr>
      <w:bookmarkStart w:id="0" w:name="_GoBack"/>
      <w:bookmarkEnd w:id="0"/>
      <w:r w:rsidRPr="001B16D3">
        <w:rPr>
          <w:rFonts w:ascii="Arial" w:hAnsi="Arial"/>
          <w:b/>
          <w:bCs/>
          <w:szCs w:val="20"/>
        </w:rPr>
        <w:t>Viktorie Plívová</w:t>
      </w:r>
    </w:p>
    <w:p w14:paraId="29F91A9C" w14:textId="509ED4CC" w:rsidR="00995BAE" w:rsidRPr="001B16D3" w:rsidRDefault="0020532C" w:rsidP="008E1AFC">
      <w:pPr>
        <w:pStyle w:val="Bezmezer"/>
        <w:spacing w:line="276" w:lineRule="auto"/>
        <w:jc w:val="both"/>
        <w:rPr>
          <w:rFonts w:ascii="Arial" w:hAnsi="Arial"/>
          <w:szCs w:val="20"/>
        </w:rPr>
      </w:pPr>
      <w:r w:rsidRPr="001B16D3">
        <w:rPr>
          <w:rFonts w:ascii="Arial" w:hAnsi="Arial"/>
          <w:bCs/>
          <w:szCs w:val="20"/>
        </w:rPr>
        <w:t>t</w:t>
      </w:r>
      <w:r w:rsidR="00526A50" w:rsidRPr="001B16D3">
        <w:rPr>
          <w:rFonts w:ascii="Arial" w:hAnsi="Arial"/>
          <w:szCs w:val="20"/>
        </w:rPr>
        <w:t>isková mluvčí</w:t>
      </w:r>
    </w:p>
    <w:sectPr w:rsidR="00995BAE" w:rsidRPr="001B16D3" w:rsidSect="00F920F3">
      <w:footerReference w:type="default" r:id="rId13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3D74" w14:textId="77777777" w:rsidR="00000B4D" w:rsidRDefault="00000B4D" w:rsidP="00844E5F">
      <w:pPr>
        <w:spacing w:before="0" w:line="240" w:lineRule="auto"/>
      </w:pPr>
      <w:r>
        <w:separator/>
      </w:r>
    </w:p>
  </w:endnote>
  <w:endnote w:type="continuationSeparator" w:id="0">
    <w:p w14:paraId="60517E83" w14:textId="77777777" w:rsidR="00000B4D" w:rsidRDefault="00000B4D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C8D6" w14:textId="77777777" w:rsidR="00000B4D" w:rsidRDefault="00000B4D" w:rsidP="00844E5F">
      <w:pPr>
        <w:spacing w:before="0" w:line="240" w:lineRule="auto"/>
      </w:pPr>
      <w:r>
        <w:separator/>
      </w:r>
    </w:p>
  </w:footnote>
  <w:footnote w:type="continuationSeparator" w:id="0">
    <w:p w14:paraId="5634D353" w14:textId="77777777" w:rsidR="00000B4D" w:rsidRDefault="00000B4D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031A"/>
    <w:multiLevelType w:val="hybridMultilevel"/>
    <w:tmpl w:val="3AF06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21154"/>
    <w:multiLevelType w:val="hybridMultilevel"/>
    <w:tmpl w:val="CF769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00A5A"/>
    <w:rsid w:val="00000B4D"/>
    <w:rsid w:val="00007A14"/>
    <w:rsid w:val="00021E10"/>
    <w:rsid w:val="000249DD"/>
    <w:rsid w:val="00027C53"/>
    <w:rsid w:val="000365AB"/>
    <w:rsid w:val="00045338"/>
    <w:rsid w:val="00047E2A"/>
    <w:rsid w:val="00082A67"/>
    <w:rsid w:val="0008737A"/>
    <w:rsid w:val="000B1A6B"/>
    <w:rsid w:val="000B4EF1"/>
    <w:rsid w:val="000B6765"/>
    <w:rsid w:val="000F0D97"/>
    <w:rsid w:val="000F600B"/>
    <w:rsid w:val="0010012F"/>
    <w:rsid w:val="00111EF0"/>
    <w:rsid w:val="00117FF2"/>
    <w:rsid w:val="00137CD4"/>
    <w:rsid w:val="0014539C"/>
    <w:rsid w:val="0016318C"/>
    <w:rsid w:val="0017097A"/>
    <w:rsid w:val="00172846"/>
    <w:rsid w:val="00173A2F"/>
    <w:rsid w:val="001746D3"/>
    <w:rsid w:val="001864B0"/>
    <w:rsid w:val="00190EE7"/>
    <w:rsid w:val="001A0F6D"/>
    <w:rsid w:val="001A6517"/>
    <w:rsid w:val="001B16D3"/>
    <w:rsid w:val="001C5526"/>
    <w:rsid w:val="001F5D10"/>
    <w:rsid w:val="002010D7"/>
    <w:rsid w:val="0020532C"/>
    <w:rsid w:val="002255E5"/>
    <w:rsid w:val="00250A59"/>
    <w:rsid w:val="002539D7"/>
    <w:rsid w:val="002670A4"/>
    <w:rsid w:val="00274A20"/>
    <w:rsid w:val="002C0105"/>
    <w:rsid w:val="002D542C"/>
    <w:rsid w:val="002E32D0"/>
    <w:rsid w:val="00315790"/>
    <w:rsid w:val="00322A4A"/>
    <w:rsid w:val="003478E5"/>
    <w:rsid w:val="00372F77"/>
    <w:rsid w:val="00373449"/>
    <w:rsid w:val="00383732"/>
    <w:rsid w:val="00383897"/>
    <w:rsid w:val="00391204"/>
    <w:rsid w:val="003A0FD4"/>
    <w:rsid w:val="003B3E13"/>
    <w:rsid w:val="003B637A"/>
    <w:rsid w:val="003C37EE"/>
    <w:rsid w:val="003D2F51"/>
    <w:rsid w:val="003D5F56"/>
    <w:rsid w:val="003F2E5F"/>
    <w:rsid w:val="003F6E42"/>
    <w:rsid w:val="004359B2"/>
    <w:rsid w:val="00454E77"/>
    <w:rsid w:val="00464DD2"/>
    <w:rsid w:val="004675A2"/>
    <w:rsid w:val="00471D79"/>
    <w:rsid w:val="004816FA"/>
    <w:rsid w:val="004A77F8"/>
    <w:rsid w:val="004F361C"/>
    <w:rsid w:val="0050420F"/>
    <w:rsid w:val="005168DA"/>
    <w:rsid w:val="00526A50"/>
    <w:rsid w:val="00550B65"/>
    <w:rsid w:val="0055776A"/>
    <w:rsid w:val="005735D4"/>
    <w:rsid w:val="005E5F77"/>
    <w:rsid w:val="005F4AFF"/>
    <w:rsid w:val="006021D2"/>
    <w:rsid w:val="00603CF2"/>
    <w:rsid w:val="006445EF"/>
    <w:rsid w:val="006535BC"/>
    <w:rsid w:val="00683C07"/>
    <w:rsid w:val="00691317"/>
    <w:rsid w:val="00692259"/>
    <w:rsid w:val="006C05CA"/>
    <w:rsid w:val="006E2FF8"/>
    <w:rsid w:val="006F103F"/>
    <w:rsid w:val="00706964"/>
    <w:rsid w:val="00712BC5"/>
    <w:rsid w:val="00721A96"/>
    <w:rsid w:val="00727B26"/>
    <w:rsid w:val="00727D2B"/>
    <w:rsid w:val="00737858"/>
    <w:rsid w:val="00742EA2"/>
    <w:rsid w:val="007600C0"/>
    <w:rsid w:val="007608C5"/>
    <w:rsid w:val="0076336E"/>
    <w:rsid w:val="00773145"/>
    <w:rsid w:val="007C63D9"/>
    <w:rsid w:val="00803E91"/>
    <w:rsid w:val="00821F68"/>
    <w:rsid w:val="008402EF"/>
    <w:rsid w:val="008431C0"/>
    <w:rsid w:val="00844E5F"/>
    <w:rsid w:val="0085553F"/>
    <w:rsid w:val="00855F99"/>
    <w:rsid w:val="008823D4"/>
    <w:rsid w:val="00892F70"/>
    <w:rsid w:val="00893971"/>
    <w:rsid w:val="00894D8B"/>
    <w:rsid w:val="008D26F1"/>
    <w:rsid w:val="008D3E0A"/>
    <w:rsid w:val="008E1AFC"/>
    <w:rsid w:val="009029C4"/>
    <w:rsid w:val="009803FA"/>
    <w:rsid w:val="00980B26"/>
    <w:rsid w:val="00990166"/>
    <w:rsid w:val="0099061E"/>
    <w:rsid w:val="00995BAE"/>
    <w:rsid w:val="00996503"/>
    <w:rsid w:val="009A5375"/>
    <w:rsid w:val="009B432F"/>
    <w:rsid w:val="009C483E"/>
    <w:rsid w:val="009D2AEA"/>
    <w:rsid w:val="009D4881"/>
    <w:rsid w:val="009F0CA3"/>
    <w:rsid w:val="00A15CA0"/>
    <w:rsid w:val="00A20EBA"/>
    <w:rsid w:val="00A2483D"/>
    <w:rsid w:val="00A2490D"/>
    <w:rsid w:val="00A25331"/>
    <w:rsid w:val="00A34F8C"/>
    <w:rsid w:val="00A35BE7"/>
    <w:rsid w:val="00A371DD"/>
    <w:rsid w:val="00A51C44"/>
    <w:rsid w:val="00A770CA"/>
    <w:rsid w:val="00A90608"/>
    <w:rsid w:val="00A90703"/>
    <w:rsid w:val="00AA12D3"/>
    <w:rsid w:val="00AB0813"/>
    <w:rsid w:val="00AD3AFC"/>
    <w:rsid w:val="00AD4972"/>
    <w:rsid w:val="00AE224E"/>
    <w:rsid w:val="00B06372"/>
    <w:rsid w:val="00B17C29"/>
    <w:rsid w:val="00B25FE9"/>
    <w:rsid w:val="00B33ED5"/>
    <w:rsid w:val="00B4003E"/>
    <w:rsid w:val="00B47D31"/>
    <w:rsid w:val="00B63E32"/>
    <w:rsid w:val="00B76A28"/>
    <w:rsid w:val="00B81CA4"/>
    <w:rsid w:val="00B81F16"/>
    <w:rsid w:val="00B90EBA"/>
    <w:rsid w:val="00B97563"/>
    <w:rsid w:val="00BA2609"/>
    <w:rsid w:val="00BB023A"/>
    <w:rsid w:val="00BC0BD9"/>
    <w:rsid w:val="00BC2C45"/>
    <w:rsid w:val="00BE6D66"/>
    <w:rsid w:val="00BF69C5"/>
    <w:rsid w:val="00C06484"/>
    <w:rsid w:val="00C2280B"/>
    <w:rsid w:val="00C251CC"/>
    <w:rsid w:val="00C4656F"/>
    <w:rsid w:val="00CC6E33"/>
    <w:rsid w:val="00CC7984"/>
    <w:rsid w:val="00CD0A20"/>
    <w:rsid w:val="00CD3CE1"/>
    <w:rsid w:val="00CF3D87"/>
    <w:rsid w:val="00CF7D7E"/>
    <w:rsid w:val="00D17688"/>
    <w:rsid w:val="00D20C45"/>
    <w:rsid w:val="00D26FBB"/>
    <w:rsid w:val="00D450BC"/>
    <w:rsid w:val="00D52D46"/>
    <w:rsid w:val="00D53AFC"/>
    <w:rsid w:val="00D63481"/>
    <w:rsid w:val="00D659AC"/>
    <w:rsid w:val="00D72CF4"/>
    <w:rsid w:val="00D74502"/>
    <w:rsid w:val="00D80B90"/>
    <w:rsid w:val="00D86E18"/>
    <w:rsid w:val="00D9066F"/>
    <w:rsid w:val="00D94D22"/>
    <w:rsid w:val="00D97DD6"/>
    <w:rsid w:val="00DB017F"/>
    <w:rsid w:val="00DB3173"/>
    <w:rsid w:val="00DB510C"/>
    <w:rsid w:val="00DB5B0D"/>
    <w:rsid w:val="00DE2289"/>
    <w:rsid w:val="00DF63DA"/>
    <w:rsid w:val="00DF7A80"/>
    <w:rsid w:val="00E069DE"/>
    <w:rsid w:val="00E1044C"/>
    <w:rsid w:val="00E2331B"/>
    <w:rsid w:val="00E5702F"/>
    <w:rsid w:val="00E570CA"/>
    <w:rsid w:val="00E73E81"/>
    <w:rsid w:val="00E83AD6"/>
    <w:rsid w:val="00E87A89"/>
    <w:rsid w:val="00E971C2"/>
    <w:rsid w:val="00EB065D"/>
    <w:rsid w:val="00EB4987"/>
    <w:rsid w:val="00ED395C"/>
    <w:rsid w:val="00F019E9"/>
    <w:rsid w:val="00F01D09"/>
    <w:rsid w:val="00F07E49"/>
    <w:rsid w:val="00F27275"/>
    <w:rsid w:val="00F30DCA"/>
    <w:rsid w:val="00F62A52"/>
    <w:rsid w:val="00F64632"/>
    <w:rsid w:val="00F920F3"/>
    <w:rsid w:val="00FA734A"/>
    <w:rsid w:val="00FC3E11"/>
    <w:rsid w:val="00FC65F4"/>
    <w:rsid w:val="00FD327B"/>
    <w:rsid w:val="00FF187C"/>
    <w:rsid w:val="00FF3E63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  <w:style w:type="paragraph" w:customStyle="1" w:styleId="bodytextagency">
    <w:name w:val="bodytextagency"/>
    <w:basedOn w:val="Normln"/>
    <w:rsid w:val="0000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ypertension.cz/pro-pacient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zp.cz/o-nas/aktuality/dentalni-hygiena-pohyb-ockovani-proti-pasovemu-oparu-a-mnohe-dalsi-vzp-navysuje-fond-preve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6</cp:revision>
  <cp:lastPrinted>2023-10-30T08:25:00Z</cp:lastPrinted>
  <dcterms:created xsi:type="dcterms:W3CDTF">2023-12-08T11:32:00Z</dcterms:created>
  <dcterms:modified xsi:type="dcterms:W3CDTF">2023-12-12T07:06:00Z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