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Mkatabulky"/>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2835"/>
        <w:gridCol w:w="2688"/>
      </w:tblGrid>
      <w:tr w:rsidR="00F62A52" w14:paraId="2070A1D7" w14:textId="77777777" w:rsidTr="00F62A52">
        <w:trPr>
          <w:trHeight w:val="653"/>
        </w:trPr>
        <w:tc>
          <w:tcPr>
            <w:tcW w:w="3828" w:type="dxa"/>
          </w:tcPr>
          <w:p w14:paraId="1F5AB69B" w14:textId="77777777" w:rsidR="00F62A52" w:rsidRPr="006445EF" w:rsidRDefault="00F62A52" w:rsidP="00821F68">
            <w:pPr>
              <w:pStyle w:val="Bezmezer"/>
              <w:spacing w:line="276" w:lineRule="auto"/>
              <w:ind w:left="-107"/>
              <w:jc w:val="both"/>
              <w:rPr>
                <w:rFonts w:ascii="Arial" w:hAnsi="Arial"/>
              </w:rPr>
            </w:pPr>
            <w:r w:rsidRPr="006445EF">
              <w:rPr>
                <w:rFonts w:ascii="Arial" w:hAnsi="Arial"/>
                <w:noProof/>
              </w:rPr>
              <w:drawing>
                <wp:inline distT="0" distB="0" distL="0" distR="0" wp14:anchorId="0A6C4141" wp14:editId="0DD92374">
                  <wp:extent cx="2095130" cy="431350"/>
                  <wp:effectExtent l="0" t="0" r="635" b="63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93777" cy="451660"/>
                          </a:xfrm>
                          <a:prstGeom prst="rect">
                            <a:avLst/>
                          </a:prstGeom>
                        </pic:spPr>
                      </pic:pic>
                    </a:graphicData>
                  </a:graphic>
                </wp:inline>
              </w:drawing>
            </w:r>
          </w:p>
        </w:tc>
        <w:tc>
          <w:tcPr>
            <w:tcW w:w="2835" w:type="dxa"/>
          </w:tcPr>
          <w:p w14:paraId="07C7B36B" w14:textId="77777777" w:rsidR="00F62A52" w:rsidRPr="00372F77" w:rsidRDefault="00F62A52" w:rsidP="00821F68">
            <w:pPr>
              <w:pStyle w:val="Normlnmini"/>
              <w:spacing w:line="276" w:lineRule="auto"/>
              <w:rPr>
                <w:sz w:val="20"/>
                <w:szCs w:val="20"/>
              </w:rPr>
            </w:pPr>
            <w:r w:rsidRPr="00372F77">
              <w:rPr>
                <w:sz w:val="20"/>
                <w:szCs w:val="20"/>
              </w:rPr>
              <w:t>VZP ČR</w:t>
            </w:r>
          </w:p>
          <w:p w14:paraId="1C95FFE0" w14:textId="3A2D5E41" w:rsidR="00F62A52" w:rsidRPr="00372F77" w:rsidRDefault="00E069DE" w:rsidP="00821F68">
            <w:pPr>
              <w:pStyle w:val="Normlnmini"/>
              <w:spacing w:line="276" w:lineRule="auto"/>
              <w:rPr>
                <w:sz w:val="20"/>
                <w:szCs w:val="20"/>
              </w:rPr>
            </w:pPr>
            <w:r w:rsidRPr="00372F77">
              <w:rPr>
                <w:sz w:val="20"/>
                <w:szCs w:val="20"/>
              </w:rPr>
              <w:t>Orlická 2020</w:t>
            </w:r>
            <w:r w:rsidR="009C483E" w:rsidRPr="00372F77">
              <w:rPr>
                <w:sz w:val="20"/>
                <w:szCs w:val="20"/>
              </w:rPr>
              <w:t>/4</w:t>
            </w:r>
          </w:p>
          <w:p w14:paraId="5FE91F37" w14:textId="3CF175B5" w:rsidR="00F62A52" w:rsidRDefault="00E069DE" w:rsidP="00821F68">
            <w:pPr>
              <w:pStyle w:val="Normlnmini"/>
              <w:spacing w:line="276" w:lineRule="auto"/>
            </w:pPr>
            <w:r w:rsidRPr="00372F77">
              <w:rPr>
                <w:sz w:val="20"/>
                <w:szCs w:val="20"/>
              </w:rPr>
              <w:t xml:space="preserve">130 </w:t>
            </w:r>
            <w:proofErr w:type="gramStart"/>
            <w:r w:rsidRPr="00372F77">
              <w:rPr>
                <w:sz w:val="20"/>
                <w:szCs w:val="20"/>
              </w:rPr>
              <w:t>00  Praha</w:t>
            </w:r>
            <w:proofErr w:type="gramEnd"/>
            <w:r w:rsidRPr="00372F77">
              <w:rPr>
                <w:sz w:val="20"/>
                <w:szCs w:val="20"/>
              </w:rPr>
              <w:t xml:space="preserve"> 3</w:t>
            </w:r>
          </w:p>
        </w:tc>
        <w:tc>
          <w:tcPr>
            <w:tcW w:w="2688" w:type="dxa"/>
            <w:vAlign w:val="bottom"/>
          </w:tcPr>
          <w:p w14:paraId="0D5F69F5" w14:textId="147D76C0" w:rsidR="00F62A52" w:rsidRPr="000F600B" w:rsidRDefault="000F0D97" w:rsidP="00821F68">
            <w:pPr>
              <w:pStyle w:val="NORMLNkapitlky"/>
              <w:spacing w:line="276" w:lineRule="auto"/>
              <w:ind w:hanging="107"/>
              <w:rPr>
                <w:rFonts w:cs="Arial"/>
                <w:szCs w:val="16"/>
              </w:rPr>
            </w:pPr>
            <w:r w:rsidRPr="000F600B">
              <w:rPr>
                <w:rFonts w:cs="Arial"/>
                <w:szCs w:val="16"/>
              </w:rPr>
              <w:t>TISKOVÁ ZPRÁVA</w:t>
            </w:r>
          </w:p>
        </w:tc>
      </w:tr>
    </w:tbl>
    <w:p w14:paraId="61E6DF08" w14:textId="336A0F33" w:rsidR="004A77F8" w:rsidRPr="008823D4" w:rsidRDefault="004A77F8" w:rsidP="00821F68">
      <w:pPr>
        <w:pStyle w:val="Normlnmini"/>
        <w:spacing w:line="276" w:lineRule="auto"/>
        <w:rPr>
          <w:sz w:val="20"/>
        </w:rPr>
      </w:pPr>
    </w:p>
    <w:p w14:paraId="06D5D918" w14:textId="54F61EB9" w:rsidR="00AD3AFC" w:rsidRPr="008823D4" w:rsidRDefault="00AD3AFC" w:rsidP="00821F68">
      <w:pPr>
        <w:pStyle w:val="Normlnmini"/>
        <w:spacing w:line="276" w:lineRule="auto"/>
        <w:rPr>
          <w:sz w:val="20"/>
        </w:rPr>
      </w:pPr>
    </w:p>
    <w:p w14:paraId="62ED152C" w14:textId="48159107" w:rsidR="00995BAE" w:rsidRPr="00D9066F" w:rsidRDefault="00995BAE" w:rsidP="00821F68">
      <w:pPr>
        <w:spacing w:before="0" w:line="276" w:lineRule="auto"/>
        <w:jc w:val="right"/>
        <w:rPr>
          <w:color w:val="212121"/>
          <w:szCs w:val="20"/>
        </w:rPr>
      </w:pPr>
      <w:r w:rsidRPr="00D9066F">
        <w:rPr>
          <w:color w:val="212121"/>
          <w:szCs w:val="20"/>
        </w:rPr>
        <w:t xml:space="preserve">Praha </w:t>
      </w:r>
      <w:r w:rsidR="003D2F51">
        <w:rPr>
          <w:color w:val="212121"/>
          <w:szCs w:val="20"/>
        </w:rPr>
        <w:t>2</w:t>
      </w:r>
      <w:r w:rsidR="00CD0A20">
        <w:rPr>
          <w:color w:val="212121"/>
          <w:szCs w:val="20"/>
        </w:rPr>
        <w:t xml:space="preserve">. </w:t>
      </w:r>
      <w:r w:rsidR="003D2F51">
        <w:rPr>
          <w:color w:val="212121"/>
          <w:szCs w:val="20"/>
        </w:rPr>
        <w:t>10</w:t>
      </w:r>
      <w:r w:rsidR="00CD0A20">
        <w:rPr>
          <w:color w:val="212121"/>
          <w:szCs w:val="20"/>
        </w:rPr>
        <w:t xml:space="preserve">. </w:t>
      </w:r>
      <w:r w:rsidRPr="00D9066F">
        <w:rPr>
          <w:color w:val="212121"/>
          <w:szCs w:val="20"/>
        </w:rPr>
        <w:t>202</w:t>
      </w:r>
      <w:r w:rsidR="00D9066F">
        <w:rPr>
          <w:color w:val="212121"/>
          <w:szCs w:val="20"/>
        </w:rPr>
        <w:t>3</w:t>
      </w:r>
    </w:p>
    <w:p w14:paraId="1E472709" w14:textId="77777777" w:rsidR="00CC6E33" w:rsidRDefault="00CC6E33" w:rsidP="00821F68">
      <w:pPr>
        <w:spacing w:before="0" w:line="276" w:lineRule="auto"/>
        <w:jc w:val="both"/>
        <w:rPr>
          <w:b/>
          <w:bCs/>
          <w:color w:val="D22D0F"/>
          <w:sz w:val="32"/>
          <w:szCs w:val="32"/>
        </w:rPr>
      </w:pPr>
    </w:p>
    <w:p w14:paraId="60BA13DA" w14:textId="77777777" w:rsidR="003D2F51" w:rsidRPr="0037255C" w:rsidRDefault="003D2F51" w:rsidP="003D2F51">
      <w:pPr>
        <w:spacing w:line="276" w:lineRule="auto"/>
        <w:rPr>
          <w:b/>
          <w:bCs/>
          <w:color w:val="D22D0F"/>
          <w:sz w:val="32"/>
          <w:szCs w:val="32"/>
        </w:rPr>
      </w:pPr>
      <w:bookmarkStart w:id="0" w:name="_GoBack"/>
      <w:proofErr w:type="spellStart"/>
      <w:r w:rsidRPr="0037255C">
        <w:rPr>
          <w:b/>
          <w:bCs/>
          <w:color w:val="D22D0F"/>
          <w:sz w:val="32"/>
          <w:szCs w:val="32"/>
        </w:rPr>
        <w:t>Pinktober</w:t>
      </w:r>
      <w:proofErr w:type="spellEnd"/>
      <w:r w:rsidRPr="0037255C">
        <w:rPr>
          <w:b/>
          <w:bCs/>
          <w:color w:val="D22D0F"/>
          <w:sz w:val="32"/>
          <w:szCs w:val="32"/>
        </w:rPr>
        <w:t xml:space="preserve"> – růžovou proti rakovině prsu </w:t>
      </w:r>
    </w:p>
    <w:bookmarkEnd w:id="0"/>
    <w:p w14:paraId="5D98819D" w14:textId="77777777" w:rsidR="003D2F51" w:rsidRDefault="003D2F51" w:rsidP="003D2F51">
      <w:pPr>
        <w:spacing w:before="0" w:line="276" w:lineRule="auto"/>
      </w:pPr>
    </w:p>
    <w:p w14:paraId="3EB141B2" w14:textId="77777777" w:rsidR="003D2F51" w:rsidRPr="0037255C" w:rsidRDefault="003D2F51" w:rsidP="003D2F51">
      <w:pPr>
        <w:spacing w:before="0" w:line="276" w:lineRule="auto"/>
        <w:rPr>
          <w:b/>
        </w:rPr>
      </w:pPr>
      <w:r w:rsidRPr="0037255C">
        <w:rPr>
          <w:b/>
        </w:rPr>
        <w:t xml:space="preserve">Rakovina prsu je nejčastějším onkologickým onemocněním žen v České republice. Vloni se s tímto onemocněním léčilo 56 tisíc klientek VZP. Pojišťovna dlouhodobě poukazuje na důležitost prevence, proto se i letos připojuje ke kampani </w:t>
      </w:r>
      <w:proofErr w:type="spellStart"/>
      <w:r w:rsidRPr="0037255C">
        <w:rPr>
          <w:b/>
        </w:rPr>
        <w:t>Pinktober</w:t>
      </w:r>
      <w:proofErr w:type="spellEnd"/>
      <w:r w:rsidRPr="0037255C">
        <w:rPr>
          <w:b/>
        </w:rPr>
        <w:t xml:space="preserve">. Říjen je totiž celosvětově věnován prevenci rakoviny prsu a podpoře nemocných žen. Tradičním symbolem onemocnění je růžová stužka, proto tedy i tato barva provází celou kampaň. </w:t>
      </w:r>
    </w:p>
    <w:p w14:paraId="31322574" w14:textId="77777777" w:rsidR="003D2F51" w:rsidRPr="0037255C" w:rsidRDefault="003D2F51" w:rsidP="003D2F51">
      <w:pPr>
        <w:spacing w:before="0" w:line="276" w:lineRule="auto"/>
      </w:pPr>
    </w:p>
    <w:p w14:paraId="6BD39A2C" w14:textId="77777777" w:rsidR="003D2F51" w:rsidRPr="0037255C" w:rsidRDefault="003D2F51" w:rsidP="003D2F51">
      <w:pPr>
        <w:spacing w:before="0" w:line="276" w:lineRule="auto"/>
      </w:pPr>
      <w:r w:rsidRPr="0037255C">
        <w:t>Dle dat ÚZIS (2021) je ročně nově diagnostikováno kolem 7 500 žen, nejčastěji ve věku 65-69 let, nádory se však objevují i u mladších žen. Vloni se s touto diagnózou léčilo 56 tisíc klientek VZP a jejich léčba stála</w:t>
      </w:r>
      <w:r>
        <w:t xml:space="preserve"> pojišťovnu</w:t>
      </w:r>
      <w:r w:rsidRPr="0037255C">
        <w:t xml:space="preserve"> 2,5 mld. korun. </w:t>
      </w:r>
    </w:p>
    <w:p w14:paraId="2FCE6B51" w14:textId="77777777" w:rsidR="003D2F51" w:rsidRPr="0037255C" w:rsidRDefault="003D2F51" w:rsidP="003D2F51">
      <w:pPr>
        <w:spacing w:before="0" w:line="276" w:lineRule="auto"/>
        <w:rPr>
          <w:b/>
        </w:rPr>
      </w:pPr>
    </w:p>
    <w:p w14:paraId="1CF7DA78" w14:textId="77777777" w:rsidR="003D2F51" w:rsidRPr="0037255C" w:rsidRDefault="003D2F51" w:rsidP="003D2F51">
      <w:pPr>
        <w:spacing w:before="0" w:line="276" w:lineRule="auto"/>
        <w:rPr>
          <w:b/>
        </w:rPr>
      </w:pPr>
      <w:r w:rsidRPr="0037255C">
        <w:rPr>
          <w:b/>
        </w:rPr>
        <w:t xml:space="preserve">Počet </w:t>
      </w:r>
      <w:r>
        <w:rPr>
          <w:b/>
        </w:rPr>
        <w:t>klientek VZP</w:t>
      </w:r>
      <w:r w:rsidRPr="0037255C">
        <w:rPr>
          <w:b/>
        </w:rPr>
        <w:t xml:space="preserve"> s nádorem prsu a náklady na jejich léčbu v uplynulých 5 letech</w:t>
      </w:r>
    </w:p>
    <w:tbl>
      <w:tblPr>
        <w:tblW w:w="4668"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A0" w:firstRow="1" w:lastRow="0" w:firstColumn="1" w:lastColumn="0" w:noHBand="0" w:noVBand="1"/>
      </w:tblPr>
      <w:tblGrid>
        <w:gridCol w:w="1124"/>
        <w:gridCol w:w="1772"/>
        <w:gridCol w:w="1772"/>
      </w:tblGrid>
      <w:tr w:rsidR="003D2F51" w:rsidRPr="0037255C" w14:paraId="6BBD2D3A" w14:textId="77777777" w:rsidTr="007A71B8">
        <w:trPr>
          <w:trHeight w:hRule="exact" w:val="854"/>
        </w:trPr>
        <w:tc>
          <w:tcPr>
            <w:tcW w:w="1124" w:type="dxa"/>
            <w:tcBorders>
              <w:top w:val="single" w:sz="8" w:space="0" w:color="FFFFFF"/>
              <w:left w:val="single" w:sz="8" w:space="0" w:color="FFFFFF"/>
              <w:bottom w:val="single" w:sz="4" w:space="0" w:color="FFFFFF"/>
              <w:right w:val="single" w:sz="4" w:space="0" w:color="FFFFFF"/>
            </w:tcBorders>
            <w:shd w:val="clear" w:color="auto" w:fill="C0504D"/>
            <w:vAlign w:val="center"/>
          </w:tcPr>
          <w:p w14:paraId="6B84F17A" w14:textId="77777777" w:rsidR="003D2F51" w:rsidRPr="0037255C" w:rsidRDefault="003D2F51" w:rsidP="003D2F51">
            <w:pPr>
              <w:keepNext/>
              <w:keepLines/>
              <w:spacing w:before="0" w:line="276" w:lineRule="auto"/>
              <w:jc w:val="both"/>
              <w:rPr>
                <w:rFonts w:eastAsia="Calibri"/>
                <w:b/>
                <w:bCs/>
                <w:color w:val="FFFFFF"/>
                <w:szCs w:val="18"/>
              </w:rPr>
            </w:pPr>
          </w:p>
        </w:tc>
        <w:tc>
          <w:tcPr>
            <w:tcW w:w="1772" w:type="dxa"/>
            <w:tcBorders>
              <w:top w:val="single" w:sz="8" w:space="0" w:color="FFFFFF"/>
              <w:left w:val="single" w:sz="4" w:space="0" w:color="FFFFFF"/>
              <w:bottom w:val="single" w:sz="4" w:space="0" w:color="FFFFFF"/>
              <w:right w:val="single" w:sz="8" w:space="0" w:color="FFFFFF"/>
            </w:tcBorders>
            <w:shd w:val="clear" w:color="auto" w:fill="C0504D"/>
            <w:vAlign w:val="center"/>
            <w:hideMark/>
          </w:tcPr>
          <w:p w14:paraId="6630C4E3" w14:textId="77777777" w:rsidR="003D2F51" w:rsidRPr="0037255C" w:rsidRDefault="003D2F51" w:rsidP="003D2F51">
            <w:pPr>
              <w:keepNext/>
              <w:keepLines/>
              <w:spacing w:before="0" w:line="276" w:lineRule="auto"/>
              <w:jc w:val="center"/>
              <w:rPr>
                <w:rFonts w:eastAsia="Calibri"/>
                <w:b/>
                <w:bCs/>
                <w:color w:val="FFFFFF"/>
                <w:szCs w:val="18"/>
              </w:rPr>
            </w:pPr>
            <w:r w:rsidRPr="0037255C">
              <w:rPr>
                <w:rFonts w:eastAsia="Calibri"/>
                <w:b/>
                <w:bCs/>
                <w:color w:val="FFFFFF"/>
                <w:szCs w:val="18"/>
              </w:rPr>
              <w:t>Počet pacientek</w:t>
            </w:r>
          </w:p>
        </w:tc>
        <w:tc>
          <w:tcPr>
            <w:tcW w:w="1772" w:type="dxa"/>
            <w:tcBorders>
              <w:top w:val="single" w:sz="8" w:space="0" w:color="FFFFFF"/>
              <w:left w:val="single" w:sz="8" w:space="0" w:color="FFFFFF"/>
              <w:bottom w:val="single" w:sz="4" w:space="0" w:color="FFFFFF"/>
              <w:right w:val="single" w:sz="8" w:space="0" w:color="FFFFFF"/>
            </w:tcBorders>
            <w:shd w:val="clear" w:color="auto" w:fill="C0504D"/>
            <w:vAlign w:val="center"/>
            <w:hideMark/>
          </w:tcPr>
          <w:p w14:paraId="77FE2422" w14:textId="77777777" w:rsidR="003D2F51" w:rsidRPr="0037255C" w:rsidRDefault="003D2F51" w:rsidP="003D2F51">
            <w:pPr>
              <w:keepNext/>
              <w:keepLines/>
              <w:spacing w:before="0" w:line="276" w:lineRule="auto"/>
              <w:jc w:val="center"/>
              <w:rPr>
                <w:rFonts w:eastAsia="Calibri"/>
                <w:b/>
                <w:bCs/>
                <w:color w:val="FFFFFF"/>
                <w:szCs w:val="18"/>
              </w:rPr>
            </w:pPr>
            <w:r w:rsidRPr="0037255C">
              <w:rPr>
                <w:rFonts w:eastAsia="Calibri"/>
                <w:b/>
                <w:bCs/>
                <w:color w:val="FFFFFF"/>
                <w:szCs w:val="18"/>
              </w:rPr>
              <w:t>Náklady na léčbu v tis. Kč</w:t>
            </w:r>
          </w:p>
        </w:tc>
      </w:tr>
      <w:tr w:rsidR="003D2F51" w:rsidRPr="0037255C" w14:paraId="0560CCFE" w14:textId="77777777" w:rsidTr="007A71B8">
        <w:trPr>
          <w:trHeight w:hRule="exact" w:val="358"/>
        </w:trPr>
        <w:tc>
          <w:tcPr>
            <w:tcW w:w="1124" w:type="dxa"/>
            <w:tcBorders>
              <w:top w:val="single" w:sz="6" w:space="0" w:color="FFFFFF"/>
              <w:left w:val="single" w:sz="8" w:space="0" w:color="FFFFFF"/>
              <w:bottom w:val="single" w:sz="6" w:space="0" w:color="FFFFFF"/>
              <w:right w:val="single" w:sz="4" w:space="0" w:color="FFFFFF"/>
            </w:tcBorders>
            <w:shd w:val="clear" w:color="auto" w:fill="C0504D"/>
            <w:vAlign w:val="center"/>
            <w:hideMark/>
          </w:tcPr>
          <w:p w14:paraId="537CF418" w14:textId="77777777" w:rsidR="003D2F51" w:rsidRPr="0037255C" w:rsidRDefault="003D2F51" w:rsidP="003D2F51">
            <w:pPr>
              <w:keepNext/>
              <w:keepLines/>
              <w:spacing w:before="0" w:line="276" w:lineRule="auto"/>
              <w:rPr>
                <w:rFonts w:eastAsia="Calibri"/>
                <w:b/>
                <w:bCs/>
                <w:color w:val="FFFFFF"/>
                <w:szCs w:val="18"/>
              </w:rPr>
            </w:pPr>
            <w:r w:rsidRPr="0037255C">
              <w:rPr>
                <w:rFonts w:eastAsia="Calibri"/>
                <w:b/>
                <w:bCs/>
                <w:color w:val="FFFFFF"/>
                <w:szCs w:val="18"/>
              </w:rPr>
              <w:t>2018</w:t>
            </w:r>
          </w:p>
        </w:tc>
        <w:tc>
          <w:tcPr>
            <w:tcW w:w="1772" w:type="dxa"/>
            <w:tcBorders>
              <w:top w:val="single" w:sz="6" w:space="0" w:color="FFFFFF"/>
              <w:left w:val="single" w:sz="4" w:space="0" w:color="FFFFFF"/>
              <w:bottom w:val="single" w:sz="6" w:space="0" w:color="FFFFFF"/>
              <w:right w:val="single" w:sz="6" w:space="0" w:color="FFFFFF"/>
            </w:tcBorders>
            <w:shd w:val="clear" w:color="auto" w:fill="EFD3D2"/>
            <w:vAlign w:val="center"/>
            <w:hideMark/>
          </w:tcPr>
          <w:p w14:paraId="7BAD1774" w14:textId="77777777" w:rsidR="003D2F51" w:rsidRPr="0037255C" w:rsidRDefault="003D2F51" w:rsidP="003D2F51">
            <w:pPr>
              <w:keepNext/>
              <w:keepLines/>
              <w:spacing w:before="0" w:line="276" w:lineRule="auto"/>
              <w:jc w:val="right"/>
              <w:rPr>
                <w:color w:val="000000"/>
                <w:szCs w:val="18"/>
              </w:rPr>
            </w:pPr>
            <w:r w:rsidRPr="0037255C">
              <w:rPr>
                <w:color w:val="000000"/>
                <w:szCs w:val="18"/>
              </w:rPr>
              <w:t>57 023</w:t>
            </w:r>
          </w:p>
        </w:tc>
        <w:tc>
          <w:tcPr>
            <w:tcW w:w="1772" w:type="dxa"/>
            <w:tcBorders>
              <w:top w:val="single" w:sz="6" w:space="0" w:color="FFFFFF"/>
              <w:left w:val="single" w:sz="6" w:space="0" w:color="FFFFFF"/>
              <w:bottom w:val="single" w:sz="6" w:space="0" w:color="FFFFFF"/>
              <w:right w:val="single" w:sz="8" w:space="0" w:color="FFFFFF"/>
            </w:tcBorders>
            <w:shd w:val="clear" w:color="auto" w:fill="EFD3D2"/>
            <w:vAlign w:val="center"/>
            <w:hideMark/>
          </w:tcPr>
          <w:p w14:paraId="3A69BC12" w14:textId="77777777" w:rsidR="003D2F51" w:rsidRPr="0037255C" w:rsidRDefault="003D2F51" w:rsidP="003D2F51">
            <w:pPr>
              <w:keepNext/>
              <w:keepLines/>
              <w:spacing w:before="0" w:line="276" w:lineRule="auto"/>
              <w:jc w:val="right"/>
              <w:rPr>
                <w:color w:val="000000"/>
                <w:szCs w:val="18"/>
              </w:rPr>
            </w:pPr>
            <w:r w:rsidRPr="0037255C">
              <w:rPr>
                <w:color w:val="000000"/>
                <w:szCs w:val="18"/>
              </w:rPr>
              <w:t>2 166 673</w:t>
            </w:r>
          </w:p>
        </w:tc>
      </w:tr>
      <w:tr w:rsidR="003D2F51" w:rsidRPr="0037255C" w14:paraId="6096FCAC" w14:textId="77777777" w:rsidTr="007A71B8">
        <w:trPr>
          <w:trHeight w:hRule="exact" w:val="346"/>
        </w:trPr>
        <w:tc>
          <w:tcPr>
            <w:tcW w:w="1124" w:type="dxa"/>
            <w:tcBorders>
              <w:top w:val="single" w:sz="6" w:space="0" w:color="FFFFFF"/>
              <w:left w:val="single" w:sz="8" w:space="0" w:color="FFFFFF"/>
              <w:bottom w:val="single" w:sz="6" w:space="0" w:color="FFFFFF"/>
              <w:right w:val="single" w:sz="4" w:space="0" w:color="FFFFFF"/>
            </w:tcBorders>
            <w:shd w:val="clear" w:color="auto" w:fill="C0504D"/>
            <w:vAlign w:val="center"/>
            <w:hideMark/>
          </w:tcPr>
          <w:p w14:paraId="6DA4E691" w14:textId="77777777" w:rsidR="003D2F51" w:rsidRPr="0037255C" w:rsidRDefault="003D2F51" w:rsidP="003D2F51">
            <w:pPr>
              <w:keepNext/>
              <w:keepLines/>
              <w:spacing w:before="0" w:line="276" w:lineRule="auto"/>
              <w:rPr>
                <w:rFonts w:eastAsia="Calibri"/>
                <w:b/>
                <w:bCs/>
                <w:color w:val="FFFFFF"/>
                <w:szCs w:val="18"/>
              </w:rPr>
            </w:pPr>
            <w:r w:rsidRPr="0037255C">
              <w:rPr>
                <w:rFonts w:eastAsia="Calibri"/>
                <w:b/>
                <w:bCs/>
                <w:color w:val="FFFFFF"/>
                <w:szCs w:val="18"/>
              </w:rPr>
              <w:t>2019</w:t>
            </w:r>
          </w:p>
        </w:tc>
        <w:tc>
          <w:tcPr>
            <w:tcW w:w="1772" w:type="dxa"/>
            <w:tcBorders>
              <w:top w:val="single" w:sz="6" w:space="0" w:color="FFFFFF"/>
              <w:left w:val="single" w:sz="4" w:space="0" w:color="FFFFFF"/>
              <w:bottom w:val="single" w:sz="6" w:space="0" w:color="FFFFFF"/>
              <w:right w:val="single" w:sz="6" w:space="0" w:color="FFFFFF"/>
            </w:tcBorders>
            <w:shd w:val="clear" w:color="auto" w:fill="EFD3D2"/>
            <w:vAlign w:val="center"/>
            <w:hideMark/>
          </w:tcPr>
          <w:p w14:paraId="6A2E2EA7" w14:textId="77777777" w:rsidR="003D2F51" w:rsidRPr="0037255C" w:rsidRDefault="003D2F51" w:rsidP="003D2F51">
            <w:pPr>
              <w:keepNext/>
              <w:keepLines/>
              <w:spacing w:before="0" w:line="276" w:lineRule="auto"/>
              <w:jc w:val="right"/>
              <w:rPr>
                <w:color w:val="000000"/>
                <w:szCs w:val="18"/>
              </w:rPr>
            </w:pPr>
            <w:r w:rsidRPr="0037255C">
              <w:rPr>
                <w:color w:val="000000"/>
                <w:szCs w:val="18"/>
              </w:rPr>
              <w:t>57 474</w:t>
            </w:r>
          </w:p>
        </w:tc>
        <w:tc>
          <w:tcPr>
            <w:tcW w:w="1772" w:type="dxa"/>
            <w:tcBorders>
              <w:top w:val="single" w:sz="6" w:space="0" w:color="FFFFFF"/>
              <w:left w:val="single" w:sz="6" w:space="0" w:color="FFFFFF"/>
              <w:bottom w:val="single" w:sz="6" w:space="0" w:color="FFFFFF"/>
              <w:right w:val="single" w:sz="8" w:space="0" w:color="FFFFFF"/>
            </w:tcBorders>
            <w:shd w:val="clear" w:color="auto" w:fill="EFD3D2"/>
            <w:vAlign w:val="center"/>
            <w:hideMark/>
          </w:tcPr>
          <w:p w14:paraId="08C09EC1" w14:textId="77777777" w:rsidR="003D2F51" w:rsidRPr="0037255C" w:rsidRDefault="003D2F51" w:rsidP="003D2F51">
            <w:pPr>
              <w:keepNext/>
              <w:keepLines/>
              <w:spacing w:before="0" w:line="276" w:lineRule="auto"/>
              <w:jc w:val="right"/>
              <w:rPr>
                <w:color w:val="000000"/>
                <w:szCs w:val="18"/>
              </w:rPr>
            </w:pPr>
            <w:r w:rsidRPr="0037255C">
              <w:rPr>
                <w:color w:val="000000"/>
                <w:szCs w:val="18"/>
              </w:rPr>
              <w:t>2 153 609</w:t>
            </w:r>
          </w:p>
        </w:tc>
      </w:tr>
      <w:tr w:rsidR="003D2F51" w:rsidRPr="0037255C" w14:paraId="507B8310" w14:textId="77777777" w:rsidTr="007A71B8">
        <w:trPr>
          <w:trHeight w:hRule="exact" w:val="368"/>
        </w:trPr>
        <w:tc>
          <w:tcPr>
            <w:tcW w:w="1124" w:type="dxa"/>
            <w:tcBorders>
              <w:top w:val="single" w:sz="6" w:space="0" w:color="FFFFFF"/>
              <w:left w:val="single" w:sz="8" w:space="0" w:color="FFFFFF"/>
              <w:bottom w:val="single" w:sz="6" w:space="0" w:color="FFFFFF"/>
              <w:right w:val="single" w:sz="4" w:space="0" w:color="FFFFFF"/>
            </w:tcBorders>
            <w:shd w:val="clear" w:color="auto" w:fill="C0504D"/>
            <w:vAlign w:val="center"/>
            <w:hideMark/>
          </w:tcPr>
          <w:p w14:paraId="1B6832EB" w14:textId="77777777" w:rsidR="003D2F51" w:rsidRPr="0037255C" w:rsidRDefault="003D2F51" w:rsidP="003D2F51">
            <w:pPr>
              <w:keepNext/>
              <w:keepLines/>
              <w:spacing w:before="0" w:line="276" w:lineRule="auto"/>
              <w:rPr>
                <w:rFonts w:eastAsia="Calibri"/>
                <w:b/>
                <w:bCs/>
                <w:color w:val="FFFFFF"/>
                <w:szCs w:val="18"/>
              </w:rPr>
            </w:pPr>
            <w:r w:rsidRPr="0037255C">
              <w:rPr>
                <w:rFonts w:eastAsia="Calibri"/>
                <w:b/>
                <w:bCs/>
                <w:color w:val="FFFFFF"/>
                <w:szCs w:val="18"/>
              </w:rPr>
              <w:t>2020</w:t>
            </w:r>
          </w:p>
        </w:tc>
        <w:tc>
          <w:tcPr>
            <w:tcW w:w="1772" w:type="dxa"/>
            <w:tcBorders>
              <w:top w:val="single" w:sz="6" w:space="0" w:color="FFFFFF"/>
              <w:left w:val="single" w:sz="4" w:space="0" w:color="FFFFFF"/>
              <w:bottom w:val="single" w:sz="6" w:space="0" w:color="FFFFFF"/>
              <w:right w:val="single" w:sz="6" w:space="0" w:color="FFFFFF"/>
            </w:tcBorders>
            <w:shd w:val="clear" w:color="auto" w:fill="EFD3D2"/>
            <w:vAlign w:val="center"/>
            <w:hideMark/>
          </w:tcPr>
          <w:p w14:paraId="07763273" w14:textId="77777777" w:rsidR="003D2F51" w:rsidRPr="0037255C" w:rsidRDefault="003D2F51" w:rsidP="003D2F51">
            <w:pPr>
              <w:keepNext/>
              <w:keepLines/>
              <w:spacing w:before="0" w:line="276" w:lineRule="auto"/>
              <w:jc w:val="right"/>
              <w:rPr>
                <w:color w:val="000000"/>
                <w:szCs w:val="18"/>
              </w:rPr>
            </w:pPr>
            <w:r w:rsidRPr="0037255C">
              <w:rPr>
                <w:color w:val="000000"/>
                <w:szCs w:val="18"/>
              </w:rPr>
              <w:t>54 852</w:t>
            </w:r>
          </w:p>
        </w:tc>
        <w:tc>
          <w:tcPr>
            <w:tcW w:w="1772" w:type="dxa"/>
            <w:tcBorders>
              <w:top w:val="single" w:sz="6" w:space="0" w:color="FFFFFF"/>
              <w:left w:val="single" w:sz="6" w:space="0" w:color="FFFFFF"/>
              <w:bottom w:val="single" w:sz="6" w:space="0" w:color="FFFFFF"/>
              <w:right w:val="single" w:sz="8" w:space="0" w:color="FFFFFF"/>
            </w:tcBorders>
            <w:shd w:val="clear" w:color="auto" w:fill="EFD3D2"/>
            <w:vAlign w:val="center"/>
            <w:hideMark/>
          </w:tcPr>
          <w:p w14:paraId="5C7A076B" w14:textId="77777777" w:rsidR="003D2F51" w:rsidRPr="0037255C" w:rsidRDefault="003D2F51" w:rsidP="003D2F51">
            <w:pPr>
              <w:keepNext/>
              <w:keepLines/>
              <w:spacing w:before="0" w:line="276" w:lineRule="auto"/>
              <w:jc w:val="right"/>
              <w:rPr>
                <w:color w:val="000000"/>
                <w:szCs w:val="18"/>
              </w:rPr>
            </w:pPr>
            <w:r w:rsidRPr="0037255C">
              <w:rPr>
                <w:color w:val="000000"/>
                <w:szCs w:val="18"/>
              </w:rPr>
              <w:t>2 183 050</w:t>
            </w:r>
          </w:p>
        </w:tc>
      </w:tr>
      <w:tr w:rsidR="003D2F51" w:rsidRPr="0037255C" w14:paraId="010CDE74" w14:textId="77777777" w:rsidTr="007A71B8">
        <w:trPr>
          <w:trHeight w:hRule="exact" w:val="373"/>
        </w:trPr>
        <w:tc>
          <w:tcPr>
            <w:tcW w:w="1124" w:type="dxa"/>
            <w:tcBorders>
              <w:top w:val="single" w:sz="6" w:space="0" w:color="FFFFFF"/>
              <w:left w:val="single" w:sz="8" w:space="0" w:color="FFFFFF"/>
              <w:bottom w:val="single" w:sz="6" w:space="0" w:color="FFFFFF"/>
              <w:right w:val="single" w:sz="4" w:space="0" w:color="FFFFFF"/>
            </w:tcBorders>
            <w:shd w:val="clear" w:color="auto" w:fill="C0504D"/>
            <w:vAlign w:val="center"/>
            <w:hideMark/>
          </w:tcPr>
          <w:p w14:paraId="2D5FEBEF" w14:textId="77777777" w:rsidR="003D2F51" w:rsidRPr="0037255C" w:rsidRDefault="003D2F51" w:rsidP="003D2F51">
            <w:pPr>
              <w:keepNext/>
              <w:keepLines/>
              <w:spacing w:before="0" w:line="276" w:lineRule="auto"/>
              <w:rPr>
                <w:rFonts w:eastAsia="Calibri"/>
                <w:b/>
                <w:bCs/>
                <w:color w:val="FFFFFF"/>
                <w:szCs w:val="18"/>
              </w:rPr>
            </w:pPr>
            <w:r w:rsidRPr="0037255C">
              <w:rPr>
                <w:rFonts w:eastAsia="Calibri"/>
                <w:b/>
                <w:bCs/>
                <w:color w:val="FFFFFF"/>
                <w:szCs w:val="18"/>
              </w:rPr>
              <w:t>2021</w:t>
            </w:r>
          </w:p>
        </w:tc>
        <w:tc>
          <w:tcPr>
            <w:tcW w:w="1772" w:type="dxa"/>
            <w:tcBorders>
              <w:top w:val="single" w:sz="6" w:space="0" w:color="FFFFFF"/>
              <w:left w:val="single" w:sz="4" w:space="0" w:color="FFFFFF"/>
              <w:bottom w:val="single" w:sz="6" w:space="0" w:color="FFFFFF"/>
              <w:right w:val="single" w:sz="6" w:space="0" w:color="FFFFFF"/>
            </w:tcBorders>
            <w:shd w:val="clear" w:color="auto" w:fill="EFD3D2"/>
            <w:vAlign w:val="center"/>
            <w:hideMark/>
          </w:tcPr>
          <w:p w14:paraId="53EAF19C" w14:textId="77777777" w:rsidR="003D2F51" w:rsidRPr="0037255C" w:rsidRDefault="003D2F51" w:rsidP="003D2F51">
            <w:pPr>
              <w:keepNext/>
              <w:keepLines/>
              <w:spacing w:before="0" w:line="276" w:lineRule="auto"/>
              <w:jc w:val="right"/>
              <w:rPr>
                <w:color w:val="000000"/>
                <w:szCs w:val="18"/>
              </w:rPr>
            </w:pPr>
            <w:r w:rsidRPr="0037255C">
              <w:rPr>
                <w:color w:val="000000"/>
                <w:szCs w:val="18"/>
              </w:rPr>
              <w:t>55 024</w:t>
            </w:r>
          </w:p>
        </w:tc>
        <w:tc>
          <w:tcPr>
            <w:tcW w:w="1772" w:type="dxa"/>
            <w:tcBorders>
              <w:top w:val="single" w:sz="6" w:space="0" w:color="FFFFFF"/>
              <w:left w:val="single" w:sz="6" w:space="0" w:color="FFFFFF"/>
              <w:bottom w:val="single" w:sz="6" w:space="0" w:color="FFFFFF"/>
              <w:right w:val="single" w:sz="8" w:space="0" w:color="FFFFFF"/>
            </w:tcBorders>
            <w:shd w:val="clear" w:color="auto" w:fill="EFD3D2"/>
            <w:vAlign w:val="center"/>
            <w:hideMark/>
          </w:tcPr>
          <w:p w14:paraId="7743D9F1" w14:textId="77777777" w:rsidR="003D2F51" w:rsidRPr="0037255C" w:rsidRDefault="003D2F51" w:rsidP="003D2F51">
            <w:pPr>
              <w:keepNext/>
              <w:keepLines/>
              <w:spacing w:before="0" w:line="276" w:lineRule="auto"/>
              <w:jc w:val="right"/>
              <w:rPr>
                <w:color w:val="000000"/>
                <w:szCs w:val="18"/>
              </w:rPr>
            </w:pPr>
            <w:r w:rsidRPr="0037255C">
              <w:rPr>
                <w:color w:val="000000"/>
                <w:szCs w:val="18"/>
              </w:rPr>
              <w:t>2 251 062</w:t>
            </w:r>
          </w:p>
        </w:tc>
      </w:tr>
      <w:tr w:rsidR="003D2F51" w:rsidRPr="0037255C" w14:paraId="7FA5F47A" w14:textId="77777777" w:rsidTr="007A71B8">
        <w:trPr>
          <w:trHeight w:hRule="exact" w:val="373"/>
        </w:trPr>
        <w:tc>
          <w:tcPr>
            <w:tcW w:w="1124" w:type="dxa"/>
            <w:tcBorders>
              <w:top w:val="single" w:sz="6" w:space="0" w:color="FFFFFF"/>
              <w:left w:val="single" w:sz="8" w:space="0" w:color="FFFFFF"/>
              <w:bottom w:val="single" w:sz="8" w:space="0" w:color="FFFFFF"/>
              <w:right w:val="single" w:sz="4" w:space="0" w:color="FFFFFF"/>
            </w:tcBorders>
            <w:shd w:val="clear" w:color="auto" w:fill="C0504D"/>
            <w:vAlign w:val="center"/>
          </w:tcPr>
          <w:p w14:paraId="65BEAAD5" w14:textId="77777777" w:rsidR="003D2F51" w:rsidRPr="0037255C" w:rsidRDefault="003D2F51" w:rsidP="003D2F51">
            <w:pPr>
              <w:keepNext/>
              <w:keepLines/>
              <w:spacing w:before="0" w:line="276" w:lineRule="auto"/>
              <w:rPr>
                <w:rFonts w:eastAsia="Calibri"/>
                <w:b/>
                <w:bCs/>
                <w:color w:val="FFFFFF"/>
                <w:szCs w:val="18"/>
              </w:rPr>
            </w:pPr>
            <w:r w:rsidRPr="0037255C">
              <w:rPr>
                <w:rFonts w:eastAsia="Calibri"/>
                <w:b/>
                <w:bCs/>
                <w:color w:val="FFFFFF"/>
                <w:szCs w:val="18"/>
              </w:rPr>
              <w:t>2022</w:t>
            </w:r>
          </w:p>
        </w:tc>
        <w:tc>
          <w:tcPr>
            <w:tcW w:w="1772" w:type="dxa"/>
            <w:tcBorders>
              <w:top w:val="single" w:sz="6" w:space="0" w:color="FFFFFF"/>
              <w:left w:val="single" w:sz="4" w:space="0" w:color="FFFFFF"/>
              <w:bottom w:val="single" w:sz="8" w:space="0" w:color="FFFFFF"/>
              <w:right w:val="single" w:sz="6" w:space="0" w:color="FFFFFF"/>
            </w:tcBorders>
            <w:shd w:val="clear" w:color="auto" w:fill="EFD3D2"/>
            <w:vAlign w:val="center"/>
          </w:tcPr>
          <w:p w14:paraId="5EAC8B0A" w14:textId="77777777" w:rsidR="003D2F51" w:rsidRPr="0037255C" w:rsidRDefault="003D2F51" w:rsidP="003D2F51">
            <w:pPr>
              <w:keepNext/>
              <w:keepLines/>
              <w:spacing w:before="0" w:line="276" w:lineRule="auto"/>
              <w:jc w:val="right"/>
              <w:rPr>
                <w:color w:val="000000"/>
                <w:szCs w:val="18"/>
              </w:rPr>
            </w:pPr>
            <w:r w:rsidRPr="0037255C">
              <w:rPr>
                <w:color w:val="000000"/>
                <w:szCs w:val="18"/>
              </w:rPr>
              <w:t>56 002</w:t>
            </w:r>
          </w:p>
        </w:tc>
        <w:tc>
          <w:tcPr>
            <w:tcW w:w="1772" w:type="dxa"/>
            <w:tcBorders>
              <w:top w:val="single" w:sz="6" w:space="0" w:color="FFFFFF"/>
              <w:left w:val="single" w:sz="6" w:space="0" w:color="FFFFFF"/>
              <w:bottom w:val="single" w:sz="8" w:space="0" w:color="FFFFFF"/>
              <w:right w:val="single" w:sz="8" w:space="0" w:color="FFFFFF"/>
            </w:tcBorders>
            <w:shd w:val="clear" w:color="auto" w:fill="EFD3D2"/>
            <w:vAlign w:val="center"/>
          </w:tcPr>
          <w:p w14:paraId="1C5EE5E3" w14:textId="77777777" w:rsidR="003D2F51" w:rsidRPr="0037255C" w:rsidRDefault="003D2F51" w:rsidP="003D2F51">
            <w:pPr>
              <w:keepNext/>
              <w:keepLines/>
              <w:spacing w:before="0" w:line="276" w:lineRule="auto"/>
              <w:jc w:val="right"/>
              <w:rPr>
                <w:color w:val="000000"/>
                <w:szCs w:val="18"/>
              </w:rPr>
            </w:pPr>
            <w:r w:rsidRPr="0037255C">
              <w:rPr>
                <w:color w:val="000000"/>
                <w:szCs w:val="18"/>
              </w:rPr>
              <w:t>2 494 785</w:t>
            </w:r>
          </w:p>
        </w:tc>
      </w:tr>
    </w:tbl>
    <w:p w14:paraId="1CA0E34F" w14:textId="77777777" w:rsidR="003D2F51" w:rsidRPr="0037255C" w:rsidRDefault="003D2F51" w:rsidP="003D2F51">
      <w:pPr>
        <w:spacing w:before="0" w:line="276" w:lineRule="auto"/>
      </w:pPr>
    </w:p>
    <w:p w14:paraId="633D1242" w14:textId="77777777" w:rsidR="003D2F51" w:rsidRPr="0037255C" w:rsidRDefault="003D2F51" w:rsidP="003D2F51">
      <w:pPr>
        <w:spacing w:before="0" w:line="276" w:lineRule="auto"/>
      </w:pPr>
      <w:r w:rsidRPr="0037255C">
        <w:t xml:space="preserve">Klíčovou roli hraje včasný záchyt nemoci, který výrazně zvýší šance na úplné vyléčení pacientky. Je proto důležité absolvovat screeningové vyšetření prsou, na které má ze zdravotního pojištění nárok každá žena starší 45 let prostřednictvím mamografie, a to pravidelně jedenkrát za dva roky. V loňském roce podstoupilo mamografický </w:t>
      </w:r>
      <w:proofErr w:type="spellStart"/>
      <w:r w:rsidRPr="0037255C">
        <w:t>screening</w:t>
      </w:r>
      <w:proofErr w:type="spellEnd"/>
      <w:r w:rsidRPr="0037255C">
        <w:t xml:space="preserve"> 402 tisíc pojištěnek VZP, v prvním pololetí 2023 více než 221 tisíc pojištěnek (cca o 10 tisíc víc, než za stejné období v roce 2022).</w:t>
      </w:r>
    </w:p>
    <w:p w14:paraId="38F24F89" w14:textId="77777777" w:rsidR="003D2F51" w:rsidRPr="0037255C" w:rsidRDefault="003D2F51" w:rsidP="003D2F51">
      <w:pPr>
        <w:spacing w:before="0" w:line="276" w:lineRule="auto"/>
      </w:pPr>
    </w:p>
    <w:p w14:paraId="42E20147" w14:textId="77777777" w:rsidR="003D2F51" w:rsidRPr="0037255C" w:rsidRDefault="003D2F51" w:rsidP="003D2F51">
      <w:pPr>
        <w:spacing w:before="0" w:line="276" w:lineRule="auto"/>
        <w:rPr>
          <w:b/>
        </w:rPr>
      </w:pPr>
      <w:r w:rsidRPr="0037255C">
        <w:rPr>
          <w:b/>
        </w:rPr>
        <w:t xml:space="preserve">Příspěvky VZP </w:t>
      </w:r>
    </w:p>
    <w:p w14:paraId="7357D7B5" w14:textId="5D1EF339" w:rsidR="003D2F51" w:rsidRPr="0037255C" w:rsidRDefault="003D2F51" w:rsidP="003D2F51">
      <w:pPr>
        <w:spacing w:before="0" w:line="276" w:lineRule="auto"/>
      </w:pPr>
      <w:r w:rsidRPr="0037255C">
        <w:t xml:space="preserve">Ženy mladší 45 let, které </w:t>
      </w:r>
      <w:proofErr w:type="spellStart"/>
      <w:r w:rsidRPr="0037255C">
        <w:t>screening</w:t>
      </w:r>
      <w:proofErr w:type="spellEnd"/>
      <w:r w:rsidRPr="0037255C">
        <w:t xml:space="preserve"> prsu hrazený pojišťovnou nemají, mohou o vyšetření z preventivních důvodů zažádat samy. V tomto případě si vyšetření musí také uhradit. VZP všem dospělým klientkám nad 18 let, které se takto rozhodly, jednorázově přispívá 500 Kč. Screeningovou mamografii lze provést u pacientky už od 40. roku věku, ženám mladším 40 let se zpravidla provádí ultrasonografie. Vyšetření musí být provedeno výhradně v akreditovaném mamografickém screeningovém centru uvedeného v seznamu </w:t>
      </w:r>
      <w:hyperlink r:id="rId11" w:anchor="seznam" w:history="1">
        <w:r w:rsidRPr="003D2F51">
          <w:rPr>
            <w:rStyle w:val="Hypertextovodkaz"/>
          </w:rPr>
          <w:t xml:space="preserve">center mamografického </w:t>
        </w:r>
        <w:proofErr w:type="spellStart"/>
        <w:r w:rsidRPr="003D2F51">
          <w:rPr>
            <w:rStyle w:val="Hypertextovodkaz"/>
          </w:rPr>
          <w:t>screeningu</w:t>
        </w:r>
        <w:proofErr w:type="spellEnd"/>
        <w:r w:rsidRPr="003D2F51">
          <w:rPr>
            <w:rStyle w:val="Hypertextovodkaz"/>
          </w:rPr>
          <w:t xml:space="preserve"> v ČR</w:t>
        </w:r>
      </w:hyperlink>
      <w:r w:rsidRPr="0037255C">
        <w:t xml:space="preserve">. Vloni si o příspěvek zažádalo přes 19 tisíc žen. </w:t>
      </w:r>
    </w:p>
    <w:p w14:paraId="0BFB2F92" w14:textId="77777777" w:rsidR="003D2F51" w:rsidRPr="0037255C" w:rsidRDefault="003D2F51" w:rsidP="003D2F51">
      <w:pPr>
        <w:spacing w:before="0" w:line="276" w:lineRule="auto"/>
      </w:pPr>
    </w:p>
    <w:p w14:paraId="3E5CAE69" w14:textId="77777777" w:rsidR="003D2F51" w:rsidRPr="003D2F51" w:rsidRDefault="003D2F51" w:rsidP="003D2F51">
      <w:pPr>
        <w:spacing w:before="0" w:line="276" w:lineRule="auto"/>
        <w:rPr>
          <w:b/>
        </w:rPr>
      </w:pPr>
      <w:r w:rsidRPr="003D2F51">
        <w:rPr>
          <w:b/>
        </w:rPr>
        <w:t>Samovyšetření</w:t>
      </w:r>
    </w:p>
    <w:p w14:paraId="049BB8BB" w14:textId="77777777" w:rsidR="003D2F51" w:rsidRPr="0037255C" w:rsidRDefault="003D2F51" w:rsidP="003D2F51">
      <w:pPr>
        <w:spacing w:before="0" w:line="276" w:lineRule="auto"/>
      </w:pPr>
      <w:r w:rsidRPr="0037255C">
        <w:t xml:space="preserve">Nezastupitelné místo v prevenci rakoviny prsu má také samovyšetření. Poučení o samovyšetření prsů by měl provádět gynekolog v rámci </w:t>
      </w:r>
      <w:r w:rsidRPr="0037255C">
        <w:lastRenderedPageBreak/>
        <w:t xml:space="preserve">preventivní prohlídky. U žen od 25 let lékař provede též klinické vyšetření prsů, pokud mají v rodině výskyt zhoubného nádoru prsu nebo mají jiné rizikové faktory. Samovyšetření prsu však není rovnocennou náhradou lékařských přístrojů. </w:t>
      </w:r>
    </w:p>
    <w:p w14:paraId="650A9574" w14:textId="77777777" w:rsidR="003D2F51" w:rsidRPr="0037255C" w:rsidRDefault="003D2F51" w:rsidP="003D2F51">
      <w:pPr>
        <w:spacing w:before="0" w:line="276" w:lineRule="auto"/>
      </w:pPr>
    </w:p>
    <w:p w14:paraId="621473D5" w14:textId="77777777" w:rsidR="003D2F51" w:rsidRPr="0037255C" w:rsidRDefault="003D2F51" w:rsidP="003D2F51">
      <w:pPr>
        <w:spacing w:before="0" w:line="276" w:lineRule="auto"/>
        <w:rPr>
          <w:b/>
        </w:rPr>
      </w:pPr>
      <w:r w:rsidRPr="0037255C">
        <w:rPr>
          <w:b/>
        </w:rPr>
        <w:t>Adresné zvaní na onkologickou prevenci</w:t>
      </w:r>
    </w:p>
    <w:p w14:paraId="45AC9369" w14:textId="77777777" w:rsidR="003D2F51" w:rsidRPr="0037255C" w:rsidRDefault="003D2F51" w:rsidP="003D2F51">
      <w:pPr>
        <w:spacing w:before="0" w:line="276" w:lineRule="auto"/>
      </w:pPr>
      <w:r w:rsidRPr="0037255C">
        <w:t>Zásadní vliv na úspěšnost léčby rakoviny je její včasné odhalení. I proto VZP už řadu let ke screeningovému vyšetření své klienty také adresně zve. Pozvánky jsou adresovány těm, kteří mají na vyšetření ze zákona nárok, ale už několik let se jich nezúčastnili. Zvací dopis, který jim přijde do schránky, tak obsahuje informaci, na která vyšetření mají nárok a kde je mohou absolvovat. Adresné zvaní se týká prevence rakoviny prsu, děložního hrdla a tlustého střeva a konečníku. Ženám ročně odešleme více než 300 tisíc dopisů s pozvánkami na mamograf.</w:t>
      </w:r>
      <w:r w:rsidRPr="0037255C">
        <w:rPr>
          <w:highlight w:val="yellow"/>
        </w:rPr>
        <w:t xml:space="preserve"> </w:t>
      </w:r>
    </w:p>
    <w:p w14:paraId="73CDB142" w14:textId="35161C6D" w:rsidR="00B25FE9" w:rsidRDefault="00B25FE9" w:rsidP="003D2F51">
      <w:pPr>
        <w:spacing w:before="0" w:line="276" w:lineRule="auto"/>
        <w:jc w:val="both"/>
        <w:rPr>
          <w:szCs w:val="20"/>
        </w:rPr>
      </w:pPr>
    </w:p>
    <w:p w14:paraId="20E48E3F" w14:textId="77777777" w:rsidR="00B25FE9" w:rsidRPr="00502DED" w:rsidRDefault="00B25FE9" w:rsidP="00000A5A">
      <w:pPr>
        <w:spacing w:before="0" w:line="276" w:lineRule="auto"/>
        <w:jc w:val="both"/>
        <w:rPr>
          <w:szCs w:val="20"/>
        </w:rPr>
      </w:pPr>
    </w:p>
    <w:p w14:paraId="465AF1C0" w14:textId="340D835D" w:rsidR="00995BAE" w:rsidRPr="00117FF2" w:rsidRDefault="00526A50" w:rsidP="00B17C29">
      <w:pPr>
        <w:spacing w:before="0" w:line="276" w:lineRule="auto"/>
        <w:rPr>
          <w:b/>
          <w:bCs/>
          <w:szCs w:val="20"/>
        </w:rPr>
      </w:pPr>
      <w:r>
        <w:rPr>
          <w:b/>
          <w:bCs/>
          <w:szCs w:val="20"/>
        </w:rPr>
        <w:t>Viktorie Plívová</w:t>
      </w:r>
    </w:p>
    <w:p w14:paraId="29F91A9C" w14:textId="6787658C" w:rsidR="00995BAE" w:rsidRPr="00117FF2" w:rsidRDefault="00526A50" w:rsidP="00B17C29">
      <w:pPr>
        <w:spacing w:before="0" w:line="276" w:lineRule="auto"/>
        <w:rPr>
          <w:szCs w:val="20"/>
        </w:rPr>
      </w:pPr>
      <w:r>
        <w:rPr>
          <w:szCs w:val="20"/>
        </w:rPr>
        <w:t>Tisková mluvčí</w:t>
      </w:r>
    </w:p>
    <w:sectPr w:rsidR="00995BAE" w:rsidRPr="00117FF2" w:rsidSect="00F920F3">
      <w:footerReference w:type="default" r:id="rId12"/>
      <w:pgSz w:w="11906" w:h="16838"/>
      <w:pgMar w:top="1417" w:right="1417" w:bottom="1843" w:left="1417" w:header="708" w:footer="4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7D80B3" w14:textId="77777777" w:rsidR="00C2280B" w:rsidRDefault="00C2280B" w:rsidP="00844E5F">
      <w:pPr>
        <w:spacing w:before="0" w:line="240" w:lineRule="auto"/>
      </w:pPr>
      <w:r>
        <w:separator/>
      </w:r>
    </w:p>
  </w:endnote>
  <w:endnote w:type="continuationSeparator" w:id="0">
    <w:p w14:paraId="2A9F440A" w14:textId="77777777" w:rsidR="00C2280B" w:rsidRDefault="00C2280B" w:rsidP="00844E5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Inter">
    <w:altName w:val="Calibri"/>
    <w:panose1 w:val="02000503000000020004"/>
    <w:charset w:val="EE"/>
    <w:family w:val="auto"/>
    <w:pitch w:val="variable"/>
    <w:sig w:usb0="E00002FF" w:usb1="1200A1FF" w:usb2="00000001" w:usb3="00000000" w:csb0="0000019F" w:csb1="00000000"/>
  </w:font>
  <w:font w:name="Times New Roman (Základní text">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Mkatabulky"/>
      <w:tblpPr w:leftFromText="141" w:rightFromText="141" w:vertAnchor="text" w:horzAnchor="margin" w:tblpY="191"/>
      <w:tblW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1701"/>
    </w:tblGrid>
    <w:tr w:rsidR="00F62A52" w14:paraId="156E0E6A" w14:textId="77777777" w:rsidTr="00F019E9">
      <w:trPr>
        <w:trHeight w:val="741"/>
      </w:trPr>
      <w:tc>
        <w:tcPr>
          <w:tcW w:w="2552" w:type="dxa"/>
          <w:tcBorders>
            <w:left w:val="single" w:sz="12" w:space="0" w:color="auto"/>
          </w:tcBorders>
          <w:vAlign w:val="center"/>
        </w:tcPr>
        <w:p w14:paraId="1B976203" w14:textId="5D4A49AC" w:rsidR="00F62A52" w:rsidRPr="00A770CA" w:rsidRDefault="00F62A52" w:rsidP="00DF7A80">
          <w:pPr>
            <w:pStyle w:val="Normlnmini"/>
            <w:ind w:left="300"/>
            <w:rPr>
              <w:sz w:val="18"/>
              <w:szCs w:val="18"/>
            </w:rPr>
          </w:pPr>
          <w:r w:rsidRPr="00A770CA">
            <w:rPr>
              <w:sz w:val="18"/>
              <w:szCs w:val="18"/>
            </w:rPr>
            <w:t>Infolinka: 952 222 222</w:t>
          </w:r>
        </w:p>
        <w:p w14:paraId="1997D3FA" w14:textId="77777777" w:rsidR="00F62A52" w:rsidRPr="00322A4A" w:rsidRDefault="00F62A52" w:rsidP="00DF7A80">
          <w:pPr>
            <w:pStyle w:val="Normlnmini"/>
            <w:ind w:left="300"/>
            <w:rPr>
              <w:b/>
              <w:bCs/>
            </w:rPr>
          </w:pPr>
          <w:r w:rsidRPr="00A770CA">
            <w:rPr>
              <w:b/>
              <w:bCs/>
              <w:sz w:val="18"/>
              <w:szCs w:val="18"/>
            </w:rPr>
            <w:t>www.vzp.cz</w:t>
          </w:r>
        </w:p>
      </w:tc>
      <w:tc>
        <w:tcPr>
          <w:tcW w:w="1701" w:type="dxa"/>
          <w:tcBorders>
            <w:left w:val="single" w:sz="4" w:space="0" w:color="auto"/>
          </w:tcBorders>
          <w:vAlign w:val="center"/>
        </w:tcPr>
        <w:p w14:paraId="73476802" w14:textId="77777777" w:rsidR="00F62A52" w:rsidRDefault="00F62A52" w:rsidP="00DF7A80">
          <w:pPr>
            <w:pStyle w:val="Normlnmini"/>
          </w:pPr>
        </w:p>
      </w:tc>
    </w:tr>
  </w:tbl>
  <w:p w14:paraId="398F7078" w14:textId="7CA6A5C3" w:rsidR="00DF7A80" w:rsidRDefault="003F6E42">
    <w:pPr>
      <w:pStyle w:val="Zpat"/>
    </w:pPr>
    <w:r>
      <w:rPr>
        <w:noProof/>
      </w:rPr>
      <mc:AlternateContent>
        <mc:Choice Requires="wps">
          <w:drawing>
            <wp:anchor distT="45720" distB="45720" distL="114300" distR="114300" simplePos="0" relativeHeight="251659264" behindDoc="0" locked="0" layoutInCell="1" allowOverlap="1" wp14:anchorId="2032313D" wp14:editId="63FF9A63">
              <wp:simplePos x="0" y="0"/>
              <wp:positionH relativeFrom="column">
                <wp:posOffset>2557780</wp:posOffset>
              </wp:positionH>
              <wp:positionV relativeFrom="paragraph">
                <wp:posOffset>-65405</wp:posOffset>
              </wp:positionV>
              <wp:extent cx="3397250" cy="828675"/>
              <wp:effectExtent l="0" t="0" r="0" b="9525"/>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0" cy="828675"/>
                      </a:xfrm>
                      <a:prstGeom prst="rect">
                        <a:avLst/>
                      </a:prstGeom>
                      <a:solidFill>
                        <a:srgbClr val="FFFFFF"/>
                      </a:solidFill>
                      <a:ln w="9525">
                        <a:noFill/>
                        <a:miter lim="800000"/>
                        <a:headEnd/>
                        <a:tailEnd/>
                      </a:ln>
                    </wps:spPr>
                    <wps:txbx>
                      <w:txbxContent>
                        <w:p w14:paraId="752705B1" w14:textId="77777777" w:rsidR="00111EF0" w:rsidRDefault="00111EF0" w:rsidP="00111EF0">
                          <w:pPr>
                            <w:spacing w:before="0"/>
                            <w:rPr>
                              <w:b/>
                              <w:color w:val="262626" w:themeColor="text1" w:themeTint="D9"/>
                              <w:sz w:val="16"/>
                              <w:szCs w:val="16"/>
                            </w:rPr>
                          </w:pPr>
                        </w:p>
                        <w:p w14:paraId="3B9032FF" w14:textId="29F69E63" w:rsidR="003F6E42" w:rsidRPr="00A770CA" w:rsidRDefault="003F6E42" w:rsidP="00111EF0">
                          <w:pPr>
                            <w:spacing w:before="0"/>
                            <w:rPr>
                              <w:b/>
                              <w:color w:val="262626" w:themeColor="text1" w:themeTint="D9"/>
                              <w:sz w:val="18"/>
                              <w:szCs w:val="18"/>
                            </w:rPr>
                          </w:pPr>
                          <w:r w:rsidRPr="00A770CA">
                            <w:rPr>
                              <w:b/>
                              <w:color w:val="262626" w:themeColor="text1" w:themeTint="D9"/>
                              <w:sz w:val="18"/>
                              <w:szCs w:val="18"/>
                            </w:rPr>
                            <w:t>Všeobecná zdravotní pojišťovna České republiky</w:t>
                          </w:r>
                        </w:p>
                        <w:p w14:paraId="260138FB" w14:textId="5376314A" w:rsidR="003F6E42" w:rsidRPr="00A770CA" w:rsidRDefault="003F6E42" w:rsidP="00111EF0">
                          <w:pPr>
                            <w:spacing w:before="0"/>
                            <w:rPr>
                              <w:color w:val="262626" w:themeColor="text1" w:themeTint="D9"/>
                              <w:sz w:val="18"/>
                              <w:szCs w:val="18"/>
                            </w:rPr>
                          </w:pPr>
                          <w:r w:rsidRPr="00A770CA">
                            <w:rPr>
                              <w:color w:val="262626" w:themeColor="text1" w:themeTint="D9"/>
                              <w:sz w:val="18"/>
                              <w:szCs w:val="18"/>
                            </w:rPr>
                            <w:t>Orlická 2020/4, 130 00 Praha 3</w:t>
                          </w:r>
                          <w:r w:rsidRPr="00A770CA">
                            <w:rPr>
                              <w:color w:val="262626" w:themeColor="text1" w:themeTint="D9"/>
                              <w:sz w:val="18"/>
                              <w:szCs w:val="18"/>
                            </w:rPr>
                            <w:br/>
                            <w:t xml:space="preserve">tel.: </w:t>
                          </w:r>
                          <w:r w:rsidRPr="00A770CA">
                            <w:rPr>
                              <w:b/>
                              <w:color w:val="262626" w:themeColor="text1" w:themeTint="D9"/>
                              <w:sz w:val="18"/>
                              <w:szCs w:val="18"/>
                            </w:rPr>
                            <w:t>952 220 267</w:t>
                          </w:r>
                          <w:r w:rsidRPr="00A770CA">
                            <w:rPr>
                              <w:color w:val="262626" w:themeColor="text1" w:themeTint="D9"/>
                              <w:sz w:val="18"/>
                              <w:szCs w:val="18"/>
                            </w:rPr>
                            <w:t xml:space="preserve">, e-mail: </w:t>
                          </w:r>
                          <w:r w:rsidRPr="00A770CA">
                            <w:rPr>
                              <w:b/>
                              <w:color w:val="262626" w:themeColor="text1" w:themeTint="D9"/>
                              <w:sz w:val="18"/>
                              <w:szCs w:val="18"/>
                            </w:rPr>
                            <w:t>tiskove@vzp.cz</w:t>
                          </w:r>
                          <w:r w:rsidRPr="00A770CA">
                            <w:rPr>
                              <w:color w:val="262626" w:themeColor="text1" w:themeTint="D9"/>
                              <w:sz w:val="18"/>
                              <w:szCs w:val="18"/>
                            </w:rPr>
                            <w:t xml:space="preserve"> </w:t>
                          </w:r>
                        </w:p>
                        <w:p w14:paraId="784DCADE" w14:textId="5B6CAD38" w:rsidR="00995BAE" w:rsidRPr="00A770CA" w:rsidRDefault="00995BAE" w:rsidP="003F6E42">
                          <w:pPr>
                            <w:rPr>
                              <w:color w:val="262626" w:themeColor="text1" w:themeTint="D9"/>
                              <w:sz w:val="18"/>
                              <w:szCs w:val="18"/>
                            </w:rPr>
                          </w:pPr>
                        </w:p>
                        <w:p w14:paraId="733E1FDF" w14:textId="77777777" w:rsidR="00995BAE" w:rsidRPr="003F6E42" w:rsidRDefault="00995BAE" w:rsidP="003F6E42">
                          <w:pPr>
                            <w:rPr>
                              <w:color w:val="262626" w:themeColor="text1" w:themeTint="D9"/>
                              <w:sz w:val="16"/>
                              <w:szCs w:val="16"/>
                            </w:rPr>
                          </w:pPr>
                        </w:p>
                        <w:p w14:paraId="3503A6B1" w14:textId="49737DA3" w:rsidR="003F6E42" w:rsidRPr="003F6E42" w:rsidRDefault="003F6E42" w:rsidP="003F6E42">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32313D" id="_x0000_t202" coordsize="21600,21600" o:spt="202" path="m,l,21600r21600,l21600,xe">
              <v:stroke joinstyle="miter"/>
              <v:path gradientshapeok="t" o:connecttype="rect"/>
            </v:shapetype>
            <v:shape id="Textové pole 2" o:spid="_x0000_s1026" type="#_x0000_t202" style="position:absolute;margin-left:201.4pt;margin-top:-5.15pt;width:267.5pt;height:65.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" stroked="f">
              <v:textbox>
                <w:txbxContent>
                  <w:p w14:paraId="752705B1" w14:textId="77777777" w:rsidR="00111EF0" w:rsidRDefault="00111EF0" w:rsidP="00111EF0">
                    <w:pPr>
                      <w:spacing w:before="0"/>
                      <w:rPr>
                        <w:b/>
                        <w:color w:val="262626" w:themeColor="text1" w:themeTint="D9"/>
                        <w:sz w:val="16"/>
                        <w:szCs w:val="16"/>
                      </w:rPr>
                    </w:pPr>
                  </w:p>
                  <w:p w14:paraId="3B9032FF" w14:textId="29F69E63" w:rsidR="003F6E42" w:rsidRPr="00A770CA" w:rsidRDefault="003F6E42" w:rsidP="00111EF0">
                    <w:pPr>
                      <w:spacing w:before="0"/>
                      <w:rPr>
                        <w:b/>
                        <w:color w:val="262626" w:themeColor="text1" w:themeTint="D9"/>
                        <w:sz w:val="18"/>
                        <w:szCs w:val="18"/>
                      </w:rPr>
                    </w:pPr>
                    <w:r w:rsidRPr="00A770CA">
                      <w:rPr>
                        <w:b/>
                        <w:color w:val="262626" w:themeColor="text1" w:themeTint="D9"/>
                        <w:sz w:val="18"/>
                        <w:szCs w:val="18"/>
                      </w:rPr>
                      <w:t>Všeobecná zdravotní pojišťovna České republiky</w:t>
                    </w:r>
                  </w:p>
                  <w:p w14:paraId="260138FB" w14:textId="5376314A" w:rsidR="003F6E42" w:rsidRPr="00A770CA" w:rsidRDefault="003F6E42" w:rsidP="00111EF0">
                    <w:pPr>
                      <w:spacing w:before="0"/>
                      <w:rPr>
                        <w:color w:val="262626" w:themeColor="text1" w:themeTint="D9"/>
                        <w:sz w:val="18"/>
                        <w:szCs w:val="18"/>
                      </w:rPr>
                    </w:pPr>
                    <w:r w:rsidRPr="00A770CA">
                      <w:rPr>
                        <w:color w:val="262626" w:themeColor="text1" w:themeTint="D9"/>
                        <w:sz w:val="18"/>
                        <w:szCs w:val="18"/>
                      </w:rPr>
                      <w:t>Orlická 2020/4, 130 00 Praha 3</w:t>
                    </w:r>
                    <w:r w:rsidRPr="00A770CA">
                      <w:rPr>
                        <w:color w:val="262626" w:themeColor="text1" w:themeTint="D9"/>
                        <w:sz w:val="18"/>
                        <w:szCs w:val="18"/>
                      </w:rPr>
                      <w:br/>
                      <w:t xml:space="preserve">tel.: </w:t>
                    </w:r>
                    <w:r w:rsidRPr="00A770CA">
                      <w:rPr>
                        <w:b/>
                        <w:color w:val="262626" w:themeColor="text1" w:themeTint="D9"/>
                        <w:sz w:val="18"/>
                        <w:szCs w:val="18"/>
                      </w:rPr>
                      <w:t>952 220 267</w:t>
                    </w:r>
                    <w:r w:rsidRPr="00A770CA">
                      <w:rPr>
                        <w:color w:val="262626" w:themeColor="text1" w:themeTint="D9"/>
                        <w:sz w:val="18"/>
                        <w:szCs w:val="18"/>
                      </w:rPr>
                      <w:t xml:space="preserve">, e-mail: </w:t>
                    </w:r>
                    <w:r w:rsidRPr="00A770CA">
                      <w:rPr>
                        <w:b/>
                        <w:color w:val="262626" w:themeColor="text1" w:themeTint="D9"/>
                        <w:sz w:val="18"/>
                        <w:szCs w:val="18"/>
                      </w:rPr>
                      <w:t>tiskove@vzp.cz</w:t>
                    </w:r>
                    <w:r w:rsidRPr="00A770CA">
                      <w:rPr>
                        <w:color w:val="262626" w:themeColor="text1" w:themeTint="D9"/>
                        <w:sz w:val="18"/>
                        <w:szCs w:val="18"/>
                      </w:rPr>
                      <w:t xml:space="preserve"> </w:t>
                    </w:r>
                  </w:p>
                  <w:p w14:paraId="784DCADE" w14:textId="5B6CAD38" w:rsidR="00995BAE" w:rsidRPr="00A770CA" w:rsidRDefault="00995BAE" w:rsidP="003F6E42">
                    <w:pPr>
                      <w:rPr>
                        <w:color w:val="262626" w:themeColor="text1" w:themeTint="D9"/>
                        <w:sz w:val="18"/>
                        <w:szCs w:val="18"/>
                      </w:rPr>
                    </w:pPr>
                  </w:p>
                  <w:p w14:paraId="733E1FDF" w14:textId="77777777" w:rsidR="00995BAE" w:rsidRPr="003F6E42" w:rsidRDefault="00995BAE" w:rsidP="003F6E42">
                    <w:pPr>
                      <w:rPr>
                        <w:color w:val="262626" w:themeColor="text1" w:themeTint="D9"/>
                        <w:sz w:val="16"/>
                        <w:szCs w:val="16"/>
                      </w:rPr>
                    </w:pPr>
                  </w:p>
                  <w:p w14:paraId="3503A6B1" w14:textId="49737DA3" w:rsidR="003F6E42" w:rsidRPr="003F6E42" w:rsidRDefault="003F6E42" w:rsidP="003F6E42">
                    <w:pPr>
                      <w:rPr>
                        <w:sz w:val="16"/>
                        <w:szCs w:val="16"/>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A2F0AD" w14:textId="77777777" w:rsidR="00C2280B" w:rsidRDefault="00C2280B" w:rsidP="00844E5F">
      <w:pPr>
        <w:spacing w:before="0" w:line="240" w:lineRule="auto"/>
      </w:pPr>
      <w:r>
        <w:separator/>
      </w:r>
    </w:p>
  </w:footnote>
  <w:footnote w:type="continuationSeparator" w:id="0">
    <w:p w14:paraId="500FB50B" w14:textId="77777777" w:rsidR="00C2280B" w:rsidRDefault="00C2280B" w:rsidP="00844E5F">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3031A"/>
    <w:multiLevelType w:val="hybridMultilevel"/>
    <w:tmpl w:val="3AF06F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34C1801"/>
    <w:multiLevelType w:val="hybridMultilevel"/>
    <w:tmpl w:val="1D4689EE"/>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3BEE571F"/>
    <w:multiLevelType w:val="multilevel"/>
    <w:tmpl w:val="FE1C0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B00216"/>
    <w:multiLevelType w:val="multilevel"/>
    <w:tmpl w:val="7F9E3D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024564"/>
    <w:multiLevelType w:val="multilevel"/>
    <w:tmpl w:val="B9D6E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03F"/>
    <w:rsid w:val="00000A5A"/>
    <w:rsid w:val="00021E10"/>
    <w:rsid w:val="000249DD"/>
    <w:rsid w:val="00027C53"/>
    <w:rsid w:val="00047E2A"/>
    <w:rsid w:val="00082A67"/>
    <w:rsid w:val="000B1A6B"/>
    <w:rsid w:val="000F0D97"/>
    <w:rsid w:val="000F600B"/>
    <w:rsid w:val="0010012F"/>
    <w:rsid w:val="00111EF0"/>
    <w:rsid w:val="00117FF2"/>
    <w:rsid w:val="0014539C"/>
    <w:rsid w:val="0016318C"/>
    <w:rsid w:val="0017097A"/>
    <w:rsid w:val="00172846"/>
    <w:rsid w:val="00173A2F"/>
    <w:rsid w:val="001746D3"/>
    <w:rsid w:val="001864B0"/>
    <w:rsid w:val="00190EE7"/>
    <w:rsid w:val="001A0F6D"/>
    <w:rsid w:val="001A6517"/>
    <w:rsid w:val="001C5526"/>
    <w:rsid w:val="001F5D10"/>
    <w:rsid w:val="002255E5"/>
    <w:rsid w:val="00250A59"/>
    <w:rsid w:val="002539D7"/>
    <w:rsid w:val="002670A4"/>
    <w:rsid w:val="00274A20"/>
    <w:rsid w:val="002C0105"/>
    <w:rsid w:val="002D542C"/>
    <w:rsid w:val="002E32D0"/>
    <w:rsid w:val="00315790"/>
    <w:rsid w:val="00322A4A"/>
    <w:rsid w:val="00372F77"/>
    <w:rsid w:val="00373449"/>
    <w:rsid w:val="00383732"/>
    <w:rsid w:val="00391204"/>
    <w:rsid w:val="003B3E13"/>
    <w:rsid w:val="003B637A"/>
    <w:rsid w:val="003C37EE"/>
    <w:rsid w:val="003D2F51"/>
    <w:rsid w:val="003D5F56"/>
    <w:rsid w:val="003F2E5F"/>
    <w:rsid w:val="003F6E42"/>
    <w:rsid w:val="004359B2"/>
    <w:rsid w:val="00454E77"/>
    <w:rsid w:val="004675A2"/>
    <w:rsid w:val="00471D79"/>
    <w:rsid w:val="004A77F8"/>
    <w:rsid w:val="004F361C"/>
    <w:rsid w:val="005168DA"/>
    <w:rsid w:val="00526A50"/>
    <w:rsid w:val="00550B65"/>
    <w:rsid w:val="0055776A"/>
    <w:rsid w:val="005735D4"/>
    <w:rsid w:val="005E5F77"/>
    <w:rsid w:val="005F4AFF"/>
    <w:rsid w:val="00603CF2"/>
    <w:rsid w:val="006445EF"/>
    <w:rsid w:val="006535BC"/>
    <w:rsid w:val="00691317"/>
    <w:rsid w:val="00692259"/>
    <w:rsid w:val="006C05CA"/>
    <w:rsid w:val="006E2FF8"/>
    <w:rsid w:val="006F103F"/>
    <w:rsid w:val="00706964"/>
    <w:rsid w:val="00712BC5"/>
    <w:rsid w:val="00721A96"/>
    <w:rsid w:val="00727D2B"/>
    <w:rsid w:val="00737858"/>
    <w:rsid w:val="007600C0"/>
    <w:rsid w:val="007608C5"/>
    <w:rsid w:val="00773145"/>
    <w:rsid w:val="007C63D9"/>
    <w:rsid w:val="00821F68"/>
    <w:rsid w:val="008402EF"/>
    <w:rsid w:val="008431C0"/>
    <w:rsid w:val="00844E5F"/>
    <w:rsid w:val="0085553F"/>
    <w:rsid w:val="008823D4"/>
    <w:rsid w:val="00892F70"/>
    <w:rsid w:val="00893971"/>
    <w:rsid w:val="00894D8B"/>
    <w:rsid w:val="008D26F1"/>
    <w:rsid w:val="008D3E0A"/>
    <w:rsid w:val="009029C4"/>
    <w:rsid w:val="009803FA"/>
    <w:rsid w:val="00980B26"/>
    <w:rsid w:val="00990166"/>
    <w:rsid w:val="0099061E"/>
    <w:rsid w:val="00995BAE"/>
    <w:rsid w:val="00996503"/>
    <w:rsid w:val="009A5375"/>
    <w:rsid w:val="009B432F"/>
    <w:rsid w:val="009C483E"/>
    <w:rsid w:val="009D2AEA"/>
    <w:rsid w:val="009D4881"/>
    <w:rsid w:val="009F0CA3"/>
    <w:rsid w:val="00A20EBA"/>
    <w:rsid w:val="00A2483D"/>
    <w:rsid w:val="00A2490D"/>
    <w:rsid w:val="00A34F8C"/>
    <w:rsid w:val="00A35BE7"/>
    <w:rsid w:val="00A371DD"/>
    <w:rsid w:val="00A51C44"/>
    <w:rsid w:val="00A770CA"/>
    <w:rsid w:val="00A90608"/>
    <w:rsid w:val="00A90703"/>
    <w:rsid w:val="00AD3AFC"/>
    <w:rsid w:val="00AD4972"/>
    <w:rsid w:val="00AE224E"/>
    <w:rsid w:val="00B06372"/>
    <w:rsid w:val="00B17C29"/>
    <w:rsid w:val="00B25FE9"/>
    <w:rsid w:val="00B4003E"/>
    <w:rsid w:val="00B47D31"/>
    <w:rsid w:val="00B63E32"/>
    <w:rsid w:val="00B76A28"/>
    <w:rsid w:val="00B81F16"/>
    <w:rsid w:val="00B90EBA"/>
    <w:rsid w:val="00BA2609"/>
    <w:rsid w:val="00BB023A"/>
    <w:rsid w:val="00BC0BD9"/>
    <w:rsid w:val="00BC2C45"/>
    <w:rsid w:val="00BE6D66"/>
    <w:rsid w:val="00BF69C5"/>
    <w:rsid w:val="00C2280B"/>
    <w:rsid w:val="00C251CC"/>
    <w:rsid w:val="00C4656F"/>
    <w:rsid w:val="00CC6E33"/>
    <w:rsid w:val="00CC7984"/>
    <w:rsid w:val="00CD0A20"/>
    <w:rsid w:val="00CD3CE1"/>
    <w:rsid w:val="00CF3D87"/>
    <w:rsid w:val="00D52D46"/>
    <w:rsid w:val="00D53AFC"/>
    <w:rsid w:val="00D63481"/>
    <w:rsid w:val="00D72CF4"/>
    <w:rsid w:val="00D74502"/>
    <w:rsid w:val="00D80B90"/>
    <w:rsid w:val="00D9066F"/>
    <w:rsid w:val="00D94D22"/>
    <w:rsid w:val="00D97DD6"/>
    <w:rsid w:val="00DB017F"/>
    <w:rsid w:val="00DB3173"/>
    <w:rsid w:val="00DB5B0D"/>
    <w:rsid w:val="00DE2289"/>
    <w:rsid w:val="00DF7A80"/>
    <w:rsid w:val="00E069DE"/>
    <w:rsid w:val="00E1044C"/>
    <w:rsid w:val="00E2331B"/>
    <w:rsid w:val="00E570CA"/>
    <w:rsid w:val="00E73E81"/>
    <w:rsid w:val="00E83AD6"/>
    <w:rsid w:val="00E87A89"/>
    <w:rsid w:val="00E971C2"/>
    <w:rsid w:val="00EB4987"/>
    <w:rsid w:val="00ED395C"/>
    <w:rsid w:val="00F019E9"/>
    <w:rsid w:val="00F01D09"/>
    <w:rsid w:val="00F07E49"/>
    <w:rsid w:val="00F27275"/>
    <w:rsid w:val="00F62A52"/>
    <w:rsid w:val="00F64632"/>
    <w:rsid w:val="00F920F3"/>
    <w:rsid w:val="00FA734A"/>
    <w:rsid w:val="00FC3E11"/>
    <w:rsid w:val="00FC65F4"/>
    <w:rsid w:val="00FF187C"/>
    <w:rsid w:val="00FF44C1"/>
    <w:rsid w:val="00FF640C"/>
    <w:rsid w:val="361F13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CE8D11"/>
  <w15:chartTrackingRefBased/>
  <w15:docId w15:val="{D3B81AE3-9E69-7740-8607-5AB40221D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Cs w:val="24"/>
        <w:lang w:val="cs-CZ"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0012F"/>
    <w:pPr>
      <w:spacing w:before="240" w:line="300"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44E5F"/>
    <w:pPr>
      <w:tabs>
        <w:tab w:val="center" w:pos="4536"/>
        <w:tab w:val="right" w:pos="9072"/>
      </w:tabs>
    </w:pPr>
  </w:style>
  <w:style w:type="character" w:customStyle="1" w:styleId="ZhlavChar">
    <w:name w:val="Záhlaví Char"/>
    <w:basedOn w:val="Standardnpsmoodstavce"/>
    <w:link w:val="Zhlav"/>
    <w:uiPriority w:val="99"/>
    <w:rsid w:val="00844E5F"/>
  </w:style>
  <w:style w:type="paragraph" w:styleId="Zpat">
    <w:name w:val="footer"/>
    <w:basedOn w:val="Normln"/>
    <w:link w:val="ZpatChar"/>
    <w:uiPriority w:val="99"/>
    <w:unhideWhenUsed/>
    <w:rsid w:val="00844E5F"/>
    <w:pPr>
      <w:tabs>
        <w:tab w:val="center" w:pos="4536"/>
        <w:tab w:val="right" w:pos="9072"/>
      </w:tabs>
    </w:pPr>
  </w:style>
  <w:style w:type="character" w:customStyle="1" w:styleId="ZpatChar">
    <w:name w:val="Zápatí Char"/>
    <w:basedOn w:val="Standardnpsmoodstavce"/>
    <w:link w:val="Zpat"/>
    <w:uiPriority w:val="99"/>
    <w:rsid w:val="00844E5F"/>
  </w:style>
  <w:style w:type="table" w:styleId="Mkatabulky">
    <w:name w:val="Table Grid"/>
    <w:basedOn w:val="Normlntabulka"/>
    <w:uiPriority w:val="39"/>
    <w:rsid w:val="00844E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mini">
    <w:name w:val="Normální mini"/>
    <w:basedOn w:val="Normln"/>
    <w:qFormat/>
    <w:rsid w:val="003F2E5F"/>
    <w:pPr>
      <w:spacing w:before="0"/>
    </w:pPr>
    <w:rPr>
      <w:sz w:val="16"/>
      <w:szCs w:val="21"/>
    </w:rPr>
  </w:style>
  <w:style w:type="paragraph" w:styleId="Bezmezer">
    <w:name w:val="No Spacing"/>
    <w:uiPriority w:val="1"/>
    <w:qFormat/>
    <w:rsid w:val="003F2E5F"/>
    <w:rPr>
      <w:rFonts w:ascii="Inter" w:hAnsi="Inter"/>
    </w:rPr>
  </w:style>
  <w:style w:type="character" w:styleId="Hypertextovodkaz">
    <w:name w:val="Hyperlink"/>
    <w:basedOn w:val="Standardnpsmoodstavce"/>
    <w:uiPriority w:val="99"/>
    <w:unhideWhenUsed/>
    <w:rsid w:val="00D72CF4"/>
    <w:rPr>
      <w:color w:val="0563C1" w:themeColor="hyperlink"/>
      <w:u w:val="single"/>
    </w:rPr>
  </w:style>
  <w:style w:type="character" w:styleId="Nevyeenzmnka">
    <w:name w:val="Unresolved Mention"/>
    <w:basedOn w:val="Standardnpsmoodstavce"/>
    <w:uiPriority w:val="99"/>
    <w:semiHidden/>
    <w:unhideWhenUsed/>
    <w:rsid w:val="00D72CF4"/>
    <w:rPr>
      <w:color w:val="605E5C"/>
      <w:shd w:val="clear" w:color="auto" w:fill="E1DFDD"/>
    </w:rPr>
  </w:style>
  <w:style w:type="paragraph" w:customStyle="1" w:styleId="Normlnodvolacdaje">
    <w:name w:val="Normální odvolací údaje"/>
    <w:basedOn w:val="Normlnmini"/>
    <w:qFormat/>
    <w:rsid w:val="00AD3AFC"/>
    <w:pPr>
      <w:spacing w:before="40" w:after="20" w:line="240" w:lineRule="auto"/>
    </w:pPr>
    <w:rPr>
      <w:sz w:val="11"/>
      <w:szCs w:val="16"/>
    </w:rPr>
  </w:style>
  <w:style w:type="paragraph" w:customStyle="1" w:styleId="NORMLNkapitlky">
    <w:name w:val="NORMÁLNÍ kapitálky"/>
    <w:basedOn w:val="Normlnmini"/>
    <w:qFormat/>
    <w:rsid w:val="00F62A52"/>
    <w:pPr>
      <w:jc w:val="center"/>
    </w:pPr>
    <w:rPr>
      <w:rFonts w:cs="Times New Roman (Základní text"/>
      <w:color w:val="D22D0F"/>
      <w:spacing w:val="80"/>
    </w:rPr>
  </w:style>
  <w:style w:type="character" w:styleId="Siln">
    <w:name w:val="Strong"/>
    <w:basedOn w:val="Standardnpsmoodstavce"/>
    <w:uiPriority w:val="22"/>
    <w:qFormat/>
    <w:rsid w:val="001C5526"/>
    <w:rPr>
      <w:b/>
      <w:bCs/>
    </w:rPr>
  </w:style>
  <w:style w:type="character" w:styleId="Zdraznn">
    <w:name w:val="Emphasis"/>
    <w:uiPriority w:val="20"/>
    <w:qFormat/>
    <w:rsid w:val="00FF44C1"/>
    <w:rPr>
      <w:i/>
      <w:iCs/>
    </w:rPr>
  </w:style>
  <w:style w:type="character" w:styleId="Sledovanodkaz">
    <w:name w:val="FollowedHyperlink"/>
    <w:basedOn w:val="Standardnpsmoodstavce"/>
    <w:uiPriority w:val="99"/>
    <w:semiHidden/>
    <w:unhideWhenUsed/>
    <w:rsid w:val="00BF69C5"/>
    <w:rPr>
      <w:color w:val="954F72" w:themeColor="followedHyperlink"/>
      <w:u w:val="single"/>
    </w:rPr>
  </w:style>
  <w:style w:type="paragraph" w:styleId="Normlnweb">
    <w:name w:val="Normal (Web)"/>
    <w:basedOn w:val="Normln"/>
    <w:uiPriority w:val="99"/>
    <w:semiHidden/>
    <w:unhideWhenUsed/>
    <w:rsid w:val="002D542C"/>
    <w:pPr>
      <w:spacing w:before="100" w:beforeAutospacing="1" w:after="100" w:afterAutospacing="1" w:line="240" w:lineRule="auto"/>
    </w:pPr>
    <w:rPr>
      <w:rFonts w:ascii="Times New Roman" w:eastAsia="Times New Roman" w:hAnsi="Times New Roman" w:cs="Times New Roman"/>
      <w:sz w:val="24"/>
      <w:lang w:eastAsia="cs-CZ"/>
    </w:rPr>
  </w:style>
  <w:style w:type="paragraph" w:styleId="Odstavecseseznamem">
    <w:name w:val="List Paragraph"/>
    <w:basedOn w:val="Normln"/>
    <w:uiPriority w:val="34"/>
    <w:qFormat/>
    <w:rsid w:val="0010012F"/>
    <w:pPr>
      <w:ind w:left="720"/>
      <w:contextualSpacing/>
    </w:pPr>
  </w:style>
  <w:style w:type="character" w:styleId="Odkaznakoment">
    <w:name w:val="annotation reference"/>
    <w:basedOn w:val="Standardnpsmoodstavce"/>
    <w:uiPriority w:val="99"/>
    <w:semiHidden/>
    <w:unhideWhenUsed/>
    <w:rsid w:val="00B4003E"/>
    <w:rPr>
      <w:sz w:val="16"/>
      <w:szCs w:val="16"/>
    </w:rPr>
  </w:style>
  <w:style w:type="paragraph" w:styleId="Textkomente">
    <w:name w:val="annotation text"/>
    <w:basedOn w:val="Normln"/>
    <w:link w:val="TextkomenteChar"/>
    <w:uiPriority w:val="99"/>
    <w:semiHidden/>
    <w:unhideWhenUsed/>
    <w:rsid w:val="00B4003E"/>
    <w:pPr>
      <w:spacing w:line="240" w:lineRule="auto"/>
    </w:pPr>
    <w:rPr>
      <w:szCs w:val="20"/>
    </w:rPr>
  </w:style>
  <w:style w:type="character" w:customStyle="1" w:styleId="TextkomenteChar">
    <w:name w:val="Text komentáře Char"/>
    <w:basedOn w:val="Standardnpsmoodstavce"/>
    <w:link w:val="Textkomente"/>
    <w:uiPriority w:val="99"/>
    <w:semiHidden/>
    <w:rsid w:val="00B4003E"/>
    <w:rPr>
      <w:szCs w:val="20"/>
    </w:rPr>
  </w:style>
  <w:style w:type="paragraph" w:styleId="Pedmtkomente">
    <w:name w:val="annotation subject"/>
    <w:basedOn w:val="Textkomente"/>
    <w:next w:val="Textkomente"/>
    <w:link w:val="PedmtkomenteChar"/>
    <w:uiPriority w:val="99"/>
    <w:semiHidden/>
    <w:unhideWhenUsed/>
    <w:rsid w:val="00B4003E"/>
    <w:rPr>
      <w:b/>
      <w:bCs/>
    </w:rPr>
  </w:style>
  <w:style w:type="character" w:customStyle="1" w:styleId="PedmtkomenteChar">
    <w:name w:val="Předmět komentáře Char"/>
    <w:basedOn w:val="TextkomenteChar"/>
    <w:link w:val="Pedmtkomente"/>
    <w:uiPriority w:val="99"/>
    <w:semiHidden/>
    <w:rsid w:val="00B4003E"/>
    <w:rPr>
      <w:b/>
      <w:bCs/>
      <w:szCs w:val="20"/>
    </w:rPr>
  </w:style>
  <w:style w:type="paragraph" w:styleId="Revize">
    <w:name w:val="Revision"/>
    <w:hidden/>
    <w:uiPriority w:val="99"/>
    <w:semiHidden/>
    <w:rsid w:val="00B4003E"/>
  </w:style>
  <w:style w:type="paragraph" w:styleId="Textbubliny">
    <w:name w:val="Balloon Text"/>
    <w:basedOn w:val="Normln"/>
    <w:link w:val="TextbublinyChar"/>
    <w:uiPriority w:val="99"/>
    <w:semiHidden/>
    <w:unhideWhenUsed/>
    <w:rsid w:val="00B4003E"/>
    <w:pPr>
      <w:spacing w:before="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4003E"/>
    <w:rPr>
      <w:rFonts w:ascii="Segoe UI" w:hAnsi="Segoe UI" w:cs="Segoe UI"/>
      <w:sz w:val="18"/>
      <w:szCs w:val="18"/>
    </w:rPr>
  </w:style>
  <w:style w:type="paragraph" w:customStyle="1" w:styleId="l4">
    <w:name w:val="l4"/>
    <w:basedOn w:val="Normln"/>
    <w:rsid w:val="008402EF"/>
    <w:pPr>
      <w:spacing w:before="100" w:beforeAutospacing="1" w:after="100" w:afterAutospacing="1" w:line="240" w:lineRule="auto"/>
    </w:pPr>
    <w:rPr>
      <w:rFonts w:ascii="Times New Roman" w:eastAsia="Times New Roman" w:hAnsi="Times New Roman" w:cs="Times New Roman"/>
      <w:sz w:val="24"/>
      <w:lang w:eastAsia="cs-CZ"/>
    </w:rPr>
  </w:style>
  <w:style w:type="paragraph" w:customStyle="1" w:styleId="l5">
    <w:name w:val="l5"/>
    <w:basedOn w:val="Normln"/>
    <w:rsid w:val="008402EF"/>
    <w:pPr>
      <w:spacing w:before="100" w:beforeAutospacing="1" w:after="100" w:afterAutospacing="1" w:line="240" w:lineRule="auto"/>
    </w:pPr>
    <w:rPr>
      <w:rFonts w:ascii="Times New Roman" w:eastAsia="Times New Roman" w:hAnsi="Times New Roman" w:cs="Times New Roman"/>
      <w:sz w:val="24"/>
      <w:lang w:eastAsia="cs-CZ"/>
    </w:rPr>
  </w:style>
  <w:style w:type="character" w:styleId="PromnnHTML">
    <w:name w:val="HTML Variable"/>
    <w:basedOn w:val="Standardnpsmoodstavce"/>
    <w:uiPriority w:val="99"/>
    <w:semiHidden/>
    <w:unhideWhenUsed/>
    <w:rsid w:val="008402EF"/>
    <w:rPr>
      <w:i/>
      <w:iCs/>
    </w:rPr>
  </w:style>
  <w:style w:type="paragraph" w:customStyle="1" w:styleId="bodytextagency">
    <w:name w:val="bodytextagency"/>
    <w:basedOn w:val="Normln"/>
    <w:rsid w:val="00000A5A"/>
    <w:pPr>
      <w:spacing w:before="100" w:beforeAutospacing="1" w:after="100" w:afterAutospacing="1" w:line="240" w:lineRule="auto"/>
    </w:pPr>
    <w:rPr>
      <w:rFonts w:ascii="Times New Roman" w:eastAsia="Times New Roman" w:hAnsi="Times New Roman" w:cs="Times New Roman"/>
      <w:sz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208928">
      <w:bodyDiv w:val="1"/>
      <w:marLeft w:val="0"/>
      <w:marRight w:val="0"/>
      <w:marTop w:val="0"/>
      <w:marBottom w:val="0"/>
      <w:divBdr>
        <w:top w:val="none" w:sz="0" w:space="0" w:color="auto"/>
        <w:left w:val="none" w:sz="0" w:space="0" w:color="auto"/>
        <w:bottom w:val="none" w:sz="0" w:space="0" w:color="auto"/>
        <w:right w:val="none" w:sz="0" w:space="0" w:color="auto"/>
      </w:divBdr>
    </w:div>
    <w:div w:id="186070546">
      <w:bodyDiv w:val="1"/>
      <w:marLeft w:val="0"/>
      <w:marRight w:val="0"/>
      <w:marTop w:val="0"/>
      <w:marBottom w:val="0"/>
      <w:divBdr>
        <w:top w:val="none" w:sz="0" w:space="0" w:color="auto"/>
        <w:left w:val="none" w:sz="0" w:space="0" w:color="auto"/>
        <w:bottom w:val="none" w:sz="0" w:space="0" w:color="auto"/>
        <w:right w:val="none" w:sz="0" w:space="0" w:color="auto"/>
      </w:divBdr>
    </w:div>
    <w:div w:id="291447591">
      <w:bodyDiv w:val="1"/>
      <w:marLeft w:val="0"/>
      <w:marRight w:val="0"/>
      <w:marTop w:val="0"/>
      <w:marBottom w:val="0"/>
      <w:divBdr>
        <w:top w:val="none" w:sz="0" w:space="0" w:color="auto"/>
        <w:left w:val="none" w:sz="0" w:space="0" w:color="auto"/>
        <w:bottom w:val="none" w:sz="0" w:space="0" w:color="auto"/>
        <w:right w:val="none" w:sz="0" w:space="0" w:color="auto"/>
      </w:divBdr>
    </w:div>
    <w:div w:id="302469646">
      <w:bodyDiv w:val="1"/>
      <w:marLeft w:val="0"/>
      <w:marRight w:val="0"/>
      <w:marTop w:val="0"/>
      <w:marBottom w:val="0"/>
      <w:divBdr>
        <w:top w:val="none" w:sz="0" w:space="0" w:color="auto"/>
        <w:left w:val="none" w:sz="0" w:space="0" w:color="auto"/>
        <w:bottom w:val="none" w:sz="0" w:space="0" w:color="auto"/>
        <w:right w:val="none" w:sz="0" w:space="0" w:color="auto"/>
      </w:divBdr>
    </w:div>
    <w:div w:id="327368358">
      <w:bodyDiv w:val="1"/>
      <w:marLeft w:val="0"/>
      <w:marRight w:val="0"/>
      <w:marTop w:val="0"/>
      <w:marBottom w:val="0"/>
      <w:divBdr>
        <w:top w:val="none" w:sz="0" w:space="0" w:color="auto"/>
        <w:left w:val="none" w:sz="0" w:space="0" w:color="auto"/>
        <w:bottom w:val="none" w:sz="0" w:space="0" w:color="auto"/>
        <w:right w:val="none" w:sz="0" w:space="0" w:color="auto"/>
      </w:divBdr>
    </w:div>
    <w:div w:id="473764549">
      <w:bodyDiv w:val="1"/>
      <w:marLeft w:val="0"/>
      <w:marRight w:val="0"/>
      <w:marTop w:val="0"/>
      <w:marBottom w:val="0"/>
      <w:divBdr>
        <w:top w:val="none" w:sz="0" w:space="0" w:color="auto"/>
        <w:left w:val="none" w:sz="0" w:space="0" w:color="auto"/>
        <w:bottom w:val="none" w:sz="0" w:space="0" w:color="auto"/>
        <w:right w:val="none" w:sz="0" w:space="0" w:color="auto"/>
      </w:divBdr>
    </w:div>
    <w:div w:id="525364091">
      <w:bodyDiv w:val="1"/>
      <w:marLeft w:val="0"/>
      <w:marRight w:val="0"/>
      <w:marTop w:val="0"/>
      <w:marBottom w:val="0"/>
      <w:divBdr>
        <w:top w:val="none" w:sz="0" w:space="0" w:color="auto"/>
        <w:left w:val="none" w:sz="0" w:space="0" w:color="auto"/>
        <w:bottom w:val="none" w:sz="0" w:space="0" w:color="auto"/>
        <w:right w:val="none" w:sz="0" w:space="0" w:color="auto"/>
      </w:divBdr>
    </w:div>
    <w:div w:id="653680987">
      <w:bodyDiv w:val="1"/>
      <w:marLeft w:val="0"/>
      <w:marRight w:val="0"/>
      <w:marTop w:val="0"/>
      <w:marBottom w:val="0"/>
      <w:divBdr>
        <w:top w:val="none" w:sz="0" w:space="0" w:color="auto"/>
        <w:left w:val="none" w:sz="0" w:space="0" w:color="auto"/>
        <w:bottom w:val="none" w:sz="0" w:space="0" w:color="auto"/>
        <w:right w:val="none" w:sz="0" w:space="0" w:color="auto"/>
      </w:divBdr>
    </w:div>
    <w:div w:id="804078607">
      <w:bodyDiv w:val="1"/>
      <w:marLeft w:val="0"/>
      <w:marRight w:val="0"/>
      <w:marTop w:val="0"/>
      <w:marBottom w:val="0"/>
      <w:divBdr>
        <w:top w:val="none" w:sz="0" w:space="0" w:color="auto"/>
        <w:left w:val="none" w:sz="0" w:space="0" w:color="auto"/>
        <w:bottom w:val="none" w:sz="0" w:space="0" w:color="auto"/>
        <w:right w:val="none" w:sz="0" w:space="0" w:color="auto"/>
      </w:divBdr>
    </w:div>
    <w:div w:id="884367648">
      <w:bodyDiv w:val="1"/>
      <w:marLeft w:val="0"/>
      <w:marRight w:val="0"/>
      <w:marTop w:val="0"/>
      <w:marBottom w:val="0"/>
      <w:divBdr>
        <w:top w:val="none" w:sz="0" w:space="0" w:color="auto"/>
        <w:left w:val="none" w:sz="0" w:space="0" w:color="auto"/>
        <w:bottom w:val="none" w:sz="0" w:space="0" w:color="auto"/>
        <w:right w:val="none" w:sz="0" w:space="0" w:color="auto"/>
      </w:divBdr>
    </w:div>
    <w:div w:id="1414280758">
      <w:bodyDiv w:val="1"/>
      <w:marLeft w:val="0"/>
      <w:marRight w:val="0"/>
      <w:marTop w:val="0"/>
      <w:marBottom w:val="0"/>
      <w:divBdr>
        <w:top w:val="none" w:sz="0" w:space="0" w:color="auto"/>
        <w:left w:val="none" w:sz="0" w:space="0" w:color="auto"/>
        <w:bottom w:val="none" w:sz="0" w:space="0" w:color="auto"/>
        <w:right w:val="none" w:sz="0" w:space="0" w:color="auto"/>
      </w:divBdr>
    </w:div>
    <w:div w:id="178233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mo.cz/centra/"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Zodpovida xmlns="ed81a986-3a82-4f62-a6e6-21d86e8c1efe">
      <UserInfo>
        <DisplayName>Váňová Kamila Mgr. (VZP ČR Ústředí)</DisplayName>
        <AccountId>5565</AccountId>
        <AccountType/>
      </UserInfo>
    </Zodpovida>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3E9ABBF591A3A4794A55379E00E5E3C" ma:contentTypeVersion="3" ma:contentTypeDescription="Vytvoří nový dokument" ma:contentTypeScope="" ma:versionID="900d34adcc27e1898ef2e075b40f0b88">
  <xsd:schema xmlns:xsd="http://www.w3.org/2001/XMLSchema" xmlns:xs="http://www.w3.org/2001/XMLSchema" xmlns:p="http://schemas.microsoft.com/office/2006/metadata/properties" xmlns:ns2="ed81a986-3a82-4f62-a6e6-21d86e8c1efe" xmlns:ns3="189c7478-f36e-4d06-b026-5479ab3e2b44" targetNamespace="http://schemas.microsoft.com/office/2006/metadata/properties" ma:root="true" ma:fieldsID="a4a26a1ba8c2871d213337479eae35d7" ns2:_="" ns3:_="">
    <xsd:import namespace="ed81a986-3a82-4f62-a6e6-21d86e8c1efe"/>
    <xsd:import namespace="189c7478-f36e-4d06-b026-5479ab3e2b44"/>
    <xsd:element name="properties">
      <xsd:complexType>
        <xsd:sequence>
          <xsd:element name="documentManagement">
            <xsd:complexType>
              <xsd:all>
                <xsd:element ref="ns2:Zodpovida"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1a986-3a82-4f62-a6e6-21d86e8c1efe" elementFormDefault="qualified">
    <xsd:import namespace="http://schemas.microsoft.com/office/2006/documentManagement/types"/>
    <xsd:import namespace="http://schemas.microsoft.com/office/infopath/2007/PartnerControls"/>
    <xsd:element name="Zodpovida" ma:index="8" nillable="true" ma:displayName="Zodpovídá" ma:list="UserInfo" ma:SharePointGroup="0" ma:internalName="Zodpovida"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9c7478-f36e-4d06-b026-5479ab3e2b44" elementFormDefault="qualified">
    <xsd:import namespace="http://schemas.microsoft.com/office/2006/documentManagement/types"/>
    <xsd:import namespace="http://schemas.microsoft.com/office/infopath/2007/PartnerControls"/>
    <xsd:element name="SharedWithUsers" ma:index="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75A159-1C31-4A9A-AF6C-356BCDB3FB40}">
  <ds:schemaRefs>
    <ds:schemaRef ds:uri="http://schemas.microsoft.com/office/2006/metadata/properties"/>
    <ds:schemaRef ds:uri="http://schemas.microsoft.com/office/infopath/2007/PartnerControls"/>
    <ds:schemaRef ds:uri="ed81a986-3a82-4f62-a6e6-21d86e8c1efe"/>
  </ds:schemaRefs>
</ds:datastoreItem>
</file>

<file path=customXml/itemProps2.xml><?xml version="1.0" encoding="utf-8"?>
<ds:datastoreItem xmlns:ds="http://schemas.openxmlformats.org/officeDocument/2006/customXml" ds:itemID="{21D9C4FA-E8CE-4941-84E1-C12B5E2E70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81a986-3a82-4f62-a6e6-21d86e8c1efe"/>
    <ds:schemaRef ds:uri="189c7478-f36e-4d06-b026-5479ab3e2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6F4D36-58AF-46D0-B21C-9596F511E8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2719</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Sixtová Jana Ing. (VZP ČR Ústředí)</dc:creator>
  <cp:keywords/>
  <dc:description/>
  <cp:lastModifiedBy>Sixtová Jana Ing. (VZP ČR Ústředí)</cp:lastModifiedBy>
  <cp:revision>2</cp:revision>
  <cp:lastPrinted>2023-05-11T09:26:00Z</cp:lastPrinted>
  <dcterms:created xsi:type="dcterms:W3CDTF">2023-10-02T06:16:00Z</dcterms:created>
  <dcterms:modified xsi:type="dcterms:W3CDTF">2023-10-02T06:16:00Z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0x010100C3E9ABBF591A3A4794A55379E00E5E3C</vt:lpwstr>
  </property>
</Properties>
</file>