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821F68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821F68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821F68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821F68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821F68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8823D4" w:rsidRDefault="004A77F8" w:rsidP="00821F68">
      <w:pPr>
        <w:pStyle w:val="Normlnmini"/>
        <w:spacing w:line="276" w:lineRule="auto"/>
        <w:rPr>
          <w:sz w:val="20"/>
        </w:rPr>
      </w:pPr>
    </w:p>
    <w:p w14:paraId="06D5D918" w14:textId="54F61EB9" w:rsidR="00AD3AFC" w:rsidRPr="008823D4" w:rsidRDefault="00AD3AFC" w:rsidP="00821F68">
      <w:pPr>
        <w:pStyle w:val="Normlnmini"/>
        <w:spacing w:line="276" w:lineRule="auto"/>
        <w:rPr>
          <w:sz w:val="20"/>
        </w:rPr>
      </w:pPr>
    </w:p>
    <w:p w14:paraId="62ED152C" w14:textId="19F0C2A3" w:rsidR="00995BAE" w:rsidRPr="00D9066F" w:rsidRDefault="00995BAE" w:rsidP="00821F68">
      <w:pPr>
        <w:spacing w:before="0" w:line="276" w:lineRule="auto"/>
        <w:jc w:val="right"/>
        <w:rPr>
          <w:color w:val="212121"/>
          <w:szCs w:val="20"/>
        </w:rPr>
      </w:pPr>
      <w:r w:rsidRPr="00D9066F">
        <w:rPr>
          <w:color w:val="212121"/>
          <w:szCs w:val="20"/>
        </w:rPr>
        <w:t xml:space="preserve">Praha </w:t>
      </w:r>
      <w:r w:rsidR="00E1044C">
        <w:rPr>
          <w:color w:val="212121"/>
          <w:szCs w:val="20"/>
        </w:rPr>
        <w:t>26</w:t>
      </w:r>
      <w:r w:rsidR="00CD0A20">
        <w:rPr>
          <w:color w:val="212121"/>
          <w:szCs w:val="20"/>
        </w:rPr>
        <w:t xml:space="preserve">. </w:t>
      </w:r>
      <w:r w:rsidR="00821F68">
        <w:rPr>
          <w:color w:val="212121"/>
          <w:szCs w:val="20"/>
        </w:rPr>
        <w:t>9</w:t>
      </w:r>
      <w:r w:rsidR="00CD0A20">
        <w:rPr>
          <w:color w:val="212121"/>
          <w:szCs w:val="20"/>
        </w:rPr>
        <w:t xml:space="preserve">. </w:t>
      </w:r>
      <w:r w:rsidRPr="00D9066F">
        <w:rPr>
          <w:color w:val="212121"/>
          <w:szCs w:val="20"/>
        </w:rPr>
        <w:t>202</w:t>
      </w:r>
      <w:r w:rsidR="00D9066F">
        <w:rPr>
          <w:color w:val="212121"/>
          <w:szCs w:val="20"/>
        </w:rPr>
        <w:t>3</w:t>
      </w:r>
    </w:p>
    <w:p w14:paraId="1E472709" w14:textId="77777777" w:rsidR="00CC6E33" w:rsidRDefault="00CC6E33" w:rsidP="00821F68">
      <w:pPr>
        <w:spacing w:before="0" w:line="276" w:lineRule="auto"/>
        <w:jc w:val="both"/>
        <w:rPr>
          <w:b/>
          <w:bCs/>
          <w:color w:val="D22D0F"/>
          <w:sz w:val="32"/>
          <w:szCs w:val="32"/>
        </w:rPr>
      </w:pPr>
    </w:p>
    <w:p w14:paraId="6CCDB895" w14:textId="4A02F54C" w:rsidR="00000A5A" w:rsidRPr="00502DED" w:rsidRDefault="00000A5A" w:rsidP="00000A5A">
      <w:pPr>
        <w:spacing w:before="0" w:line="276" w:lineRule="auto"/>
        <w:jc w:val="both"/>
        <w:rPr>
          <w:b/>
          <w:bCs/>
          <w:color w:val="D22D0F"/>
          <w:sz w:val="32"/>
          <w:szCs w:val="32"/>
        </w:rPr>
      </w:pPr>
      <w:r w:rsidRPr="00502DED">
        <w:rPr>
          <w:b/>
          <w:bCs/>
          <w:color w:val="D22D0F"/>
          <w:sz w:val="32"/>
          <w:szCs w:val="32"/>
        </w:rPr>
        <w:t xml:space="preserve">V EU je proti chřipce očkována polovina seniorů, v Česku zhruba čtvrtina. </w:t>
      </w:r>
      <w:r w:rsidR="00B25FE9">
        <w:rPr>
          <w:b/>
          <w:bCs/>
          <w:color w:val="D22D0F"/>
          <w:sz w:val="32"/>
          <w:szCs w:val="32"/>
        </w:rPr>
        <w:t>Očkování mají přitom plně hrazeno</w:t>
      </w:r>
    </w:p>
    <w:p w14:paraId="2B2F1BEC" w14:textId="77777777" w:rsidR="00000A5A" w:rsidRDefault="00000A5A" w:rsidP="00000A5A">
      <w:pPr>
        <w:spacing w:before="0" w:line="276" w:lineRule="auto"/>
        <w:jc w:val="both"/>
      </w:pPr>
    </w:p>
    <w:p w14:paraId="494F06DF" w14:textId="7FE391A4" w:rsidR="00000A5A" w:rsidRPr="00502DED" w:rsidRDefault="00000A5A" w:rsidP="00000A5A">
      <w:pPr>
        <w:spacing w:before="0" w:line="276" w:lineRule="auto"/>
        <w:jc w:val="both"/>
        <w:rPr>
          <w:b/>
          <w:szCs w:val="20"/>
        </w:rPr>
      </w:pPr>
      <w:r w:rsidRPr="00502DED">
        <w:rPr>
          <w:b/>
          <w:szCs w:val="20"/>
        </w:rPr>
        <w:t xml:space="preserve">Chřipkou v Česku každoročně onemocní statisíce lidí. Závažnost průběhu onemocnění je velmi individuální, může </w:t>
      </w:r>
      <w:proofErr w:type="gramStart"/>
      <w:r w:rsidRPr="00502DED">
        <w:rPr>
          <w:b/>
          <w:szCs w:val="20"/>
        </w:rPr>
        <w:t>bý</w:t>
      </w:r>
      <w:bookmarkStart w:id="0" w:name="_GoBack"/>
      <w:bookmarkEnd w:id="0"/>
      <w:r w:rsidRPr="00502DED">
        <w:rPr>
          <w:b/>
          <w:szCs w:val="20"/>
        </w:rPr>
        <w:t>t</w:t>
      </w:r>
      <w:proofErr w:type="gramEnd"/>
      <w:r w:rsidRPr="00502DED">
        <w:rPr>
          <w:b/>
          <w:szCs w:val="20"/>
        </w:rPr>
        <w:t xml:space="preserve"> ale provázeno různými komplikacemi a v nejhorších případech končit dokonce úmrtím. I přesto se Česko stále potýká s velmi nízkou </w:t>
      </w:r>
      <w:proofErr w:type="spellStart"/>
      <w:r w:rsidRPr="00502DED">
        <w:rPr>
          <w:b/>
          <w:szCs w:val="20"/>
        </w:rPr>
        <w:t>očkovaností</w:t>
      </w:r>
      <w:proofErr w:type="spellEnd"/>
      <w:r w:rsidRPr="00502DED">
        <w:rPr>
          <w:b/>
          <w:szCs w:val="20"/>
        </w:rPr>
        <w:t xml:space="preserve"> populace proti této infekční chorobě, a to i mezi seniory nad 65 let, kteří mají vakcínu plně hrazenou z veřejného zdravotního pojištění. Zatímco v zemích EU bylo podle dat </w:t>
      </w:r>
      <w:hyperlink r:id="rId11" w:anchor="Influenza_vaccination_rates_.E2.80.93_based_on_vaccination_programme_data" w:history="1">
        <w:proofErr w:type="spellStart"/>
        <w:r w:rsidRPr="00502DED">
          <w:rPr>
            <w:rStyle w:val="Hypertextovodkaz"/>
            <w:b/>
            <w:szCs w:val="20"/>
          </w:rPr>
          <w:t>Eurostatu</w:t>
        </w:r>
        <w:proofErr w:type="spellEnd"/>
      </w:hyperlink>
      <w:r w:rsidRPr="00502DED">
        <w:rPr>
          <w:b/>
          <w:szCs w:val="20"/>
        </w:rPr>
        <w:t xml:space="preserve"> v roce 2021 v této věkové skupině proočkována víc než polovina populace (50,8 %), v Česku to bylo 25 %. Pro zajímavost, premiantem zmíněné statistiky je Irsko, a to s více než 75 % seniorů očkovaných proti chřipce. </w:t>
      </w:r>
    </w:p>
    <w:p w14:paraId="77C7868E" w14:textId="77777777" w:rsidR="00000A5A" w:rsidRPr="00502DED" w:rsidRDefault="00000A5A" w:rsidP="00000A5A">
      <w:pPr>
        <w:spacing w:before="0" w:line="276" w:lineRule="auto"/>
        <w:jc w:val="both"/>
        <w:rPr>
          <w:b/>
          <w:szCs w:val="20"/>
        </w:rPr>
      </w:pPr>
    </w:p>
    <w:p w14:paraId="3C81E4DB" w14:textId="77777777" w:rsidR="00000A5A" w:rsidRPr="00502DED" w:rsidRDefault="00000A5A" w:rsidP="00000A5A">
      <w:pPr>
        <w:spacing w:before="0" w:line="276" w:lineRule="auto"/>
        <w:jc w:val="both"/>
        <w:rPr>
          <w:szCs w:val="20"/>
        </w:rPr>
      </w:pPr>
      <w:r w:rsidRPr="00502DED">
        <w:rPr>
          <w:szCs w:val="20"/>
        </w:rPr>
        <w:t xml:space="preserve">Dle České </w:t>
      </w:r>
      <w:proofErr w:type="spellStart"/>
      <w:r w:rsidRPr="00502DED">
        <w:rPr>
          <w:szCs w:val="20"/>
        </w:rPr>
        <w:t>vakcinologické</w:t>
      </w:r>
      <w:proofErr w:type="spellEnd"/>
      <w:r w:rsidRPr="00502DED">
        <w:rPr>
          <w:szCs w:val="20"/>
        </w:rPr>
        <w:t xml:space="preserve"> společnosti ČLS JEP je každoročně viry chřipky infikováno 5-15 % obyvatel, s tím že největší výskyt bývá mezi dětmi: „</w:t>
      </w:r>
      <w:r w:rsidRPr="00172846">
        <w:rPr>
          <w:i/>
          <w:szCs w:val="20"/>
        </w:rPr>
        <w:t>Každoročně se nakazí až 20 % dětí, které se významně uplatňují v přenosu chřipkových virů v populaci, protože mohou vylučovat virus déle než dospělí. V České republice každoročně umírají v důsledku chřipky stovky až více než tisíc lidí, nejčastěji ve vyšších věkových skupinách</w:t>
      </w:r>
      <w:r w:rsidRPr="00502DED">
        <w:rPr>
          <w:szCs w:val="20"/>
        </w:rPr>
        <w:t xml:space="preserve">,“ uvádí </w:t>
      </w:r>
      <w:proofErr w:type="spellStart"/>
      <w:r w:rsidRPr="00502DED">
        <w:rPr>
          <w:szCs w:val="20"/>
        </w:rPr>
        <w:t>vakcinologové</w:t>
      </w:r>
      <w:proofErr w:type="spellEnd"/>
      <w:r w:rsidRPr="00502DED">
        <w:rPr>
          <w:szCs w:val="20"/>
        </w:rPr>
        <w:t xml:space="preserve"> ve svém letošním </w:t>
      </w:r>
      <w:hyperlink r:id="rId12" w:history="1">
        <w:r w:rsidRPr="00502DED">
          <w:rPr>
            <w:rStyle w:val="Hypertextovodkaz"/>
            <w:szCs w:val="20"/>
          </w:rPr>
          <w:t>doporučení k očkování proti chřipce</w:t>
        </w:r>
      </w:hyperlink>
      <w:r w:rsidRPr="00502DED">
        <w:rPr>
          <w:szCs w:val="20"/>
        </w:rPr>
        <w:t>. Ideální dobou pro očkování je říjen až prosinec. Očkování proti chřipce je třeba opakovat každoročně, a to vakcínou připravenou na aktuální sezónu dle očekávaných kmenů chřipky. Organismus je chráněn zhruba 14 dní po aplikaci vakcíny.</w:t>
      </w:r>
    </w:p>
    <w:p w14:paraId="5E35755B" w14:textId="77777777" w:rsidR="00000A5A" w:rsidRPr="00502DED" w:rsidRDefault="00000A5A" w:rsidP="00000A5A">
      <w:pPr>
        <w:spacing w:before="0" w:line="276" w:lineRule="auto"/>
        <w:jc w:val="both"/>
        <w:rPr>
          <w:b/>
          <w:szCs w:val="20"/>
        </w:rPr>
      </w:pPr>
    </w:p>
    <w:p w14:paraId="1F22749D" w14:textId="5F4FCE6F" w:rsidR="00000A5A" w:rsidRPr="00502DED" w:rsidRDefault="00000A5A" w:rsidP="00000A5A">
      <w:pPr>
        <w:spacing w:before="0" w:line="276" w:lineRule="auto"/>
        <w:jc w:val="both"/>
        <w:rPr>
          <w:b/>
          <w:szCs w:val="20"/>
        </w:rPr>
      </w:pPr>
      <w:r w:rsidRPr="00502DED">
        <w:rPr>
          <w:b/>
          <w:szCs w:val="20"/>
        </w:rPr>
        <w:t xml:space="preserve">Kdo má zákonný nárok na očkování proti chřipce? </w:t>
      </w:r>
    </w:p>
    <w:p w14:paraId="07E06D6D" w14:textId="5857407B" w:rsidR="00000A5A" w:rsidRPr="00502DED" w:rsidRDefault="00000A5A" w:rsidP="00000A5A">
      <w:pPr>
        <w:spacing w:before="0" w:line="276" w:lineRule="auto"/>
        <w:jc w:val="both"/>
        <w:rPr>
          <w:color w:val="212121"/>
          <w:szCs w:val="20"/>
          <w:shd w:val="clear" w:color="auto" w:fill="FFFFFF"/>
        </w:rPr>
      </w:pPr>
      <w:r w:rsidRPr="00502DED">
        <w:rPr>
          <w:szCs w:val="20"/>
        </w:rPr>
        <w:t xml:space="preserve">Očkování proti chřipce je nepovinné, ale prioritně by jej měli podstoupit všichni pojištěnci nad 65 let, kteří jej mají plně hrazeno z veřejného zdravotního pojištění, stejně jako pacienti s chronickým </w:t>
      </w:r>
      <w:r w:rsidRPr="00502DED">
        <w:rPr>
          <w:color w:val="212121"/>
          <w:szCs w:val="20"/>
          <w:shd w:val="clear" w:color="auto" w:fill="FFFFFF"/>
        </w:rPr>
        <w:t>onemocněním srdce a cév, dýchacích cest, ledvin, nebo diabetem. Ke skupinám, které mají nárok na hrazené očkování</w:t>
      </w:r>
      <w:r w:rsidR="00ED395C">
        <w:rPr>
          <w:color w:val="212121"/>
          <w:szCs w:val="20"/>
          <w:shd w:val="clear" w:color="auto" w:fill="FFFFFF"/>
        </w:rPr>
        <w:t>,</w:t>
      </w:r>
      <w:r w:rsidRPr="00502DED">
        <w:rPr>
          <w:color w:val="212121"/>
          <w:szCs w:val="20"/>
          <w:shd w:val="clear" w:color="auto" w:fill="FFFFFF"/>
        </w:rPr>
        <w:t xml:space="preserve"> patří také klienti domovů pro seniory či LDN, zdravotničtí pracovníci apod. </w:t>
      </w:r>
    </w:p>
    <w:p w14:paraId="47D29F87" w14:textId="77777777" w:rsidR="00000A5A" w:rsidRPr="00502DED" w:rsidRDefault="00000A5A" w:rsidP="00000A5A">
      <w:pPr>
        <w:spacing w:before="0" w:line="276" w:lineRule="auto"/>
        <w:jc w:val="both"/>
        <w:rPr>
          <w:szCs w:val="20"/>
        </w:rPr>
      </w:pPr>
    </w:p>
    <w:p w14:paraId="763EC8F8" w14:textId="40EC50A9" w:rsidR="00000A5A" w:rsidRPr="00B25FE9" w:rsidRDefault="00000A5A" w:rsidP="00000A5A">
      <w:pPr>
        <w:spacing w:before="0" w:line="276" w:lineRule="auto"/>
        <w:jc w:val="both"/>
        <w:rPr>
          <w:szCs w:val="20"/>
        </w:rPr>
      </w:pPr>
      <w:r w:rsidRPr="00B25FE9">
        <w:rPr>
          <w:szCs w:val="20"/>
        </w:rPr>
        <w:t xml:space="preserve">VZP v oblasti očkování proti chřipce zaznamenala v posledních letech rostoucí trend, přesto i její data potvrzují statistiku </w:t>
      </w:r>
      <w:proofErr w:type="spellStart"/>
      <w:r w:rsidRPr="00B25FE9">
        <w:rPr>
          <w:szCs w:val="20"/>
        </w:rPr>
        <w:t>Eurostatu</w:t>
      </w:r>
      <w:proofErr w:type="spellEnd"/>
      <w:r w:rsidRPr="00B25FE9">
        <w:rPr>
          <w:szCs w:val="20"/>
        </w:rPr>
        <w:t xml:space="preserve">. Nárok na hrazené očkování uplatňuje necelých 400 tisíc klientů, jen mezi seniory nad 65 let má přitom VZP téměř 1,4 mil. lidí.  Počet pojištěnců, kteří využívají </w:t>
      </w:r>
      <w:r w:rsidR="00ED395C" w:rsidRPr="00B25FE9">
        <w:rPr>
          <w:szCs w:val="20"/>
        </w:rPr>
        <w:t xml:space="preserve">tento </w:t>
      </w:r>
      <w:r w:rsidRPr="00B25FE9">
        <w:rPr>
          <w:szCs w:val="20"/>
        </w:rPr>
        <w:t>zákonný nárok na hrazené očkování proti chřipce, alespoň rok od roku mírně přibývá. Před deseti lety (2012) hradila VZP očkování zhruba 270 000 svých klientů</w:t>
      </w:r>
      <w:r w:rsidR="00ED395C" w:rsidRPr="00B25FE9">
        <w:rPr>
          <w:szCs w:val="20"/>
        </w:rPr>
        <w:t>,</w:t>
      </w:r>
      <w:r w:rsidRPr="00B25FE9">
        <w:rPr>
          <w:szCs w:val="20"/>
        </w:rPr>
        <w:t xml:space="preserve"> vloni jich bylo 390 000.</w:t>
      </w:r>
    </w:p>
    <w:p w14:paraId="61B0C482" w14:textId="77777777" w:rsidR="00000A5A" w:rsidRPr="00ED395C" w:rsidRDefault="00000A5A" w:rsidP="00000A5A">
      <w:pPr>
        <w:spacing w:before="0" w:line="276" w:lineRule="auto"/>
        <w:jc w:val="both"/>
        <w:rPr>
          <w:rFonts w:eastAsia="Times New Roman"/>
          <w:b/>
          <w:bCs/>
          <w:szCs w:val="20"/>
        </w:rPr>
      </w:pPr>
    </w:p>
    <w:p w14:paraId="556F9727" w14:textId="314822D8" w:rsidR="00000A5A" w:rsidRPr="00ED395C" w:rsidRDefault="00000A5A" w:rsidP="00000A5A">
      <w:pPr>
        <w:spacing w:before="0" w:line="276" w:lineRule="auto"/>
        <w:jc w:val="both"/>
        <w:rPr>
          <w:rFonts w:eastAsia="Times New Roman"/>
          <w:b/>
          <w:szCs w:val="20"/>
        </w:rPr>
      </w:pPr>
      <w:r w:rsidRPr="00ED395C">
        <w:rPr>
          <w:rFonts w:eastAsia="Times New Roman"/>
          <w:b/>
          <w:bCs/>
          <w:szCs w:val="20"/>
        </w:rPr>
        <w:t>Počet pojištěnců</w:t>
      </w:r>
      <w:r w:rsidR="00ED395C">
        <w:rPr>
          <w:rFonts w:eastAsia="Times New Roman"/>
          <w:b/>
          <w:bCs/>
          <w:szCs w:val="20"/>
        </w:rPr>
        <w:t xml:space="preserve"> VZP</w:t>
      </w:r>
      <w:r w:rsidRPr="00ED395C">
        <w:rPr>
          <w:rFonts w:eastAsia="Times New Roman"/>
          <w:b/>
          <w:bCs/>
          <w:szCs w:val="20"/>
        </w:rPr>
        <w:t>, jejichž očkování bylo hrazené ze zdravotního pojištění</w:t>
      </w:r>
    </w:p>
    <w:tbl>
      <w:tblPr>
        <w:tblW w:w="7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960"/>
        <w:gridCol w:w="960"/>
        <w:gridCol w:w="960"/>
        <w:gridCol w:w="960"/>
        <w:gridCol w:w="960"/>
        <w:gridCol w:w="960"/>
      </w:tblGrid>
      <w:tr w:rsidR="00000A5A" w:rsidRPr="00502DED" w14:paraId="5EF8121B" w14:textId="77777777" w:rsidTr="007A71B8">
        <w:trPr>
          <w:trHeight w:val="330"/>
          <w:jc w:val="center"/>
        </w:trPr>
        <w:tc>
          <w:tcPr>
            <w:tcW w:w="2100" w:type="dxa"/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68A89" w14:textId="77777777" w:rsidR="00000A5A" w:rsidRPr="00502DED" w:rsidRDefault="00000A5A" w:rsidP="00000A5A">
            <w:pPr>
              <w:spacing w:before="0" w:line="276" w:lineRule="auto"/>
              <w:jc w:val="both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960" w:type="dxa"/>
            <w:shd w:val="clear" w:color="auto" w:fill="FCE4D6"/>
            <w:vAlign w:val="center"/>
          </w:tcPr>
          <w:p w14:paraId="56FD7BAA" w14:textId="77777777" w:rsidR="00000A5A" w:rsidRPr="00502DED" w:rsidRDefault="00000A5A" w:rsidP="00000A5A">
            <w:pPr>
              <w:spacing w:before="0" w:line="276" w:lineRule="auto"/>
              <w:jc w:val="both"/>
              <w:rPr>
                <w:b/>
                <w:bCs/>
                <w:color w:val="000000"/>
                <w:szCs w:val="20"/>
              </w:rPr>
            </w:pPr>
            <w:r w:rsidRPr="00502DED">
              <w:rPr>
                <w:b/>
                <w:bCs/>
                <w:color w:val="000000"/>
                <w:szCs w:val="20"/>
              </w:rPr>
              <w:t>2012</w:t>
            </w:r>
          </w:p>
        </w:tc>
        <w:tc>
          <w:tcPr>
            <w:tcW w:w="960" w:type="dxa"/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E170D" w14:textId="77777777" w:rsidR="00000A5A" w:rsidRPr="00502DED" w:rsidRDefault="00000A5A" w:rsidP="00000A5A">
            <w:pPr>
              <w:spacing w:before="0" w:line="276" w:lineRule="auto"/>
              <w:jc w:val="both"/>
              <w:rPr>
                <w:bCs/>
                <w:color w:val="000000"/>
                <w:szCs w:val="20"/>
              </w:rPr>
            </w:pPr>
            <w:r w:rsidRPr="00502DED">
              <w:rPr>
                <w:bCs/>
                <w:color w:val="000000"/>
                <w:szCs w:val="20"/>
              </w:rPr>
              <w:t>2018</w:t>
            </w:r>
          </w:p>
        </w:tc>
        <w:tc>
          <w:tcPr>
            <w:tcW w:w="960" w:type="dxa"/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735F2" w14:textId="77777777" w:rsidR="00000A5A" w:rsidRPr="00502DED" w:rsidRDefault="00000A5A" w:rsidP="00000A5A">
            <w:pPr>
              <w:spacing w:before="0" w:line="276" w:lineRule="auto"/>
              <w:jc w:val="both"/>
              <w:rPr>
                <w:bCs/>
                <w:color w:val="000000"/>
                <w:szCs w:val="20"/>
              </w:rPr>
            </w:pPr>
            <w:r w:rsidRPr="00502DED">
              <w:rPr>
                <w:bCs/>
                <w:color w:val="000000"/>
                <w:szCs w:val="20"/>
              </w:rPr>
              <w:t>2019</w:t>
            </w:r>
          </w:p>
        </w:tc>
        <w:tc>
          <w:tcPr>
            <w:tcW w:w="960" w:type="dxa"/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D7828" w14:textId="77777777" w:rsidR="00000A5A" w:rsidRPr="00502DED" w:rsidRDefault="00000A5A" w:rsidP="00000A5A">
            <w:pPr>
              <w:spacing w:before="0" w:line="276" w:lineRule="auto"/>
              <w:jc w:val="both"/>
              <w:rPr>
                <w:bCs/>
                <w:color w:val="000000"/>
                <w:szCs w:val="20"/>
              </w:rPr>
            </w:pPr>
            <w:r w:rsidRPr="00502DED">
              <w:rPr>
                <w:bCs/>
                <w:color w:val="000000"/>
                <w:szCs w:val="20"/>
              </w:rPr>
              <w:t>2020</w:t>
            </w:r>
          </w:p>
        </w:tc>
        <w:tc>
          <w:tcPr>
            <w:tcW w:w="960" w:type="dxa"/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757F2" w14:textId="77777777" w:rsidR="00000A5A" w:rsidRPr="00502DED" w:rsidRDefault="00000A5A" w:rsidP="00000A5A">
            <w:pPr>
              <w:spacing w:before="0" w:line="276" w:lineRule="auto"/>
              <w:jc w:val="both"/>
              <w:rPr>
                <w:bCs/>
                <w:color w:val="000000"/>
                <w:szCs w:val="20"/>
              </w:rPr>
            </w:pPr>
            <w:r w:rsidRPr="00502DED">
              <w:rPr>
                <w:bCs/>
                <w:color w:val="000000"/>
                <w:szCs w:val="20"/>
              </w:rPr>
              <w:t>2021</w:t>
            </w:r>
          </w:p>
        </w:tc>
        <w:tc>
          <w:tcPr>
            <w:tcW w:w="960" w:type="dxa"/>
            <w:shd w:val="clear" w:color="auto" w:fill="FCE4D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5A858" w14:textId="77777777" w:rsidR="00000A5A" w:rsidRPr="00502DED" w:rsidRDefault="00000A5A" w:rsidP="00000A5A">
            <w:pPr>
              <w:spacing w:before="0" w:line="276" w:lineRule="auto"/>
              <w:jc w:val="both"/>
              <w:rPr>
                <w:b/>
                <w:bCs/>
                <w:color w:val="000000"/>
                <w:szCs w:val="20"/>
              </w:rPr>
            </w:pPr>
            <w:r w:rsidRPr="00502DED">
              <w:rPr>
                <w:b/>
                <w:bCs/>
                <w:color w:val="000000"/>
                <w:szCs w:val="20"/>
              </w:rPr>
              <w:t>2022</w:t>
            </w:r>
          </w:p>
        </w:tc>
      </w:tr>
      <w:tr w:rsidR="00000A5A" w:rsidRPr="00502DED" w14:paraId="62E579B4" w14:textId="77777777" w:rsidTr="007A71B8">
        <w:trPr>
          <w:trHeight w:val="315"/>
          <w:jc w:val="center"/>
        </w:trPr>
        <w:tc>
          <w:tcPr>
            <w:tcW w:w="21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B835A" w14:textId="77777777" w:rsidR="00000A5A" w:rsidRPr="00502DED" w:rsidRDefault="00000A5A" w:rsidP="00000A5A">
            <w:pPr>
              <w:spacing w:before="0" w:line="276" w:lineRule="auto"/>
              <w:jc w:val="both"/>
              <w:rPr>
                <w:b/>
                <w:bCs/>
                <w:color w:val="000000"/>
                <w:szCs w:val="20"/>
              </w:rPr>
            </w:pPr>
            <w:r w:rsidRPr="00502DED">
              <w:rPr>
                <w:b/>
                <w:bCs/>
                <w:color w:val="000000"/>
                <w:szCs w:val="20"/>
              </w:rPr>
              <w:t>Celkem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94B02F7" w14:textId="77777777" w:rsidR="00000A5A" w:rsidRPr="00502DED" w:rsidRDefault="00000A5A" w:rsidP="00000A5A">
            <w:pPr>
              <w:spacing w:before="0" w:line="276" w:lineRule="auto"/>
              <w:jc w:val="both"/>
              <w:rPr>
                <w:b/>
                <w:bCs/>
                <w:color w:val="000000"/>
                <w:szCs w:val="20"/>
              </w:rPr>
            </w:pPr>
            <w:r w:rsidRPr="00502DED">
              <w:rPr>
                <w:b/>
                <w:bCs/>
                <w:color w:val="000000"/>
                <w:szCs w:val="20"/>
              </w:rPr>
              <w:t>269 797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D8D87" w14:textId="77777777" w:rsidR="00000A5A" w:rsidRPr="00502DED" w:rsidRDefault="00000A5A" w:rsidP="00000A5A">
            <w:pPr>
              <w:spacing w:before="0" w:line="276" w:lineRule="auto"/>
              <w:jc w:val="both"/>
              <w:rPr>
                <w:bCs/>
                <w:color w:val="000000"/>
                <w:szCs w:val="20"/>
              </w:rPr>
            </w:pPr>
            <w:r w:rsidRPr="00502DED">
              <w:rPr>
                <w:bCs/>
                <w:color w:val="000000"/>
                <w:szCs w:val="20"/>
              </w:rPr>
              <w:t>338 140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B5F0B" w14:textId="77777777" w:rsidR="00000A5A" w:rsidRPr="00502DED" w:rsidRDefault="00000A5A" w:rsidP="00000A5A">
            <w:pPr>
              <w:spacing w:before="0" w:line="276" w:lineRule="auto"/>
              <w:jc w:val="both"/>
              <w:rPr>
                <w:bCs/>
                <w:color w:val="000000"/>
                <w:szCs w:val="20"/>
              </w:rPr>
            </w:pPr>
            <w:r w:rsidRPr="00502DED">
              <w:rPr>
                <w:bCs/>
                <w:color w:val="000000"/>
                <w:szCs w:val="20"/>
              </w:rPr>
              <w:t>359 440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9EB29" w14:textId="77777777" w:rsidR="00000A5A" w:rsidRPr="00502DED" w:rsidRDefault="00000A5A" w:rsidP="00000A5A">
            <w:pPr>
              <w:spacing w:before="0" w:line="276" w:lineRule="auto"/>
              <w:jc w:val="both"/>
              <w:rPr>
                <w:bCs/>
                <w:color w:val="000000"/>
                <w:szCs w:val="20"/>
              </w:rPr>
            </w:pPr>
            <w:r w:rsidRPr="00502DED">
              <w:rPr>
                <w:bCs/>
                <w:color w:val="000000"/>
                <w:szCs w:val="20"/>
              </w:rPr>
              <w:t>372 936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F4648" w14:textId="77777777" w:rsidR="00000A5A" w:rsidRPr="00502DED" w:rsidRDefault="00000A5A" w:rsidP="00000A5A">
            <w:pPr>
              <w:spacing w:before="0" w:line="276" w:lineRule="auto"/>
              <w:jc w:val="both"/>
              <w:rPr>
                <w:bCs/>
                <w:color w:val="000000"/>
                <w:szCs w:val="20"/>
              </w:rPr>
            </w:pPr>
            <w:r w:rsidRPr="00502DED">
              <w:rPr>
                <w:bCs/>
                <w:color w:val="000000"/>
                <w:szCs w:val="20"/>
              </w:rPr>
              <w:t>387 231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80F72" w14:textId="77777777" w:rsidR="00000A5A" w:rsidRPr="00502DED" w:rsidRDefault="00000A5A" w:rsidP="00000A5A">
            <w:pPr>
              <w:spacing w:before="0" w:line="276" w:lineRule="auto"/>
              <w:jc w:val="both"/>
              <w:rPr>
                <w:b/>
                <w:bCs/>
                <w:color w:val="000000"/>
                <w:szCs w:val="20"/>
              </w:rPr>
            </w:pPr>
            <w:r w:rsidRPr="00502DED">
              <w:rPr>
                <w:b/>
                <w:bCs/>
                <w:color w:val="000000"/>
                <w:szCs w:val="20"/>
              </w:rPr>
              <w:t>387 849</w:t>
            </w:r>
          </w:p>
        </w:tc>
      </w:tr>
    </w:tbl>
    <w:p w14:paraId="187AE0CF" w14:textId="77777777" w:rsidR="00000A5A" w:rsidRPr="00502DED" w:rsidRDefault="00000A5A" w:rsidP="00000A5A">
      <w:pPr>
        <w:spacing w:before="0" w:line="276" w:lineRule="auto"/>
        <w:jc w:val="both"/>
        <w:rPr>
          <w:szCs w:val="20"/>
        </w:rPr>
      </w:pPr>
    </w:p>
    <w:p w14:paraId="493A780F" w14:textId="77777777" w:rsidR="00000A5A" w:rsidRDefault="00000A5A" w:rsidP="00000A5A">
      <w:pPr>
        <w:spacing w:before="0" w:line="276" w:lineRule="auto"/>
        <w:jc w:val="both"/>
        <w:rPr>
          <w:b/>
          <w:szCs w:val="20"/>
        </w:rPr>
      </w:pPr>
    </w:p>
    <w:p w14:paraId="094BFE57" w14:textId="631CA346" w:rsidR="00000A5A" w:rsidRPr="00000A5A" w:rsidRDefault="00000A5A" w:rsidP="00000A5A">
      <w:pPr>
        <w:spacing w:before="0" w:line="276" w:lineRule="auto"/>
        <w:jc w:val="both"/>
        <w:rPr>
          <w:b/>
          <w:szCs w:val="20"/>
        </w:rPr>
      </w:pPr>
      <w:r w:rsidRPr="00502DED">
        <w:rPr>
          <w:b/>
          <w:szCs w:val="20"/>
        </w:rPr>
        <w:t>Příspěvek VZP na očkování proti chřipce</w:t>
      </w:r>
    </w:p>
    <w:p w14:paraId="4368FF43" w14:textId="77777777" w:rsidR="00000A5A" w:rsidRPr="00502DED" w:rsidRDefault="00000A5A" w:rsidP="00000A5A">
      <w:pPr>
        <w:spacing w:before="0" w:line="276" w:lineRule="auto"/>
        <w:jc w:val="both"/>
        <w:rPr>
          <w:szCs w:val="20"/>
        </w:rPr>
      </w:pPr>
      <w:r w:rsidRPr="00502DED">
        <w:rPr>
          <w:szCs w:val="20"/>
        </w:rPr>
        <w:t>VZP v rámci svých preventivních programů nabízí všem klientům, kteří nemají očkování proti chřipce hrazené z veřejného zdravotního pojištění, příspěvek - d</w:t>
      </w:r>
      <w:r w:rsidRPr="00502DED">
        <w:rPr>
          <w:rFonts w:eastAsia="Times New Roman"/>
          <w:szCs w:val="20"/>
        </w:rPr>
        <w:t>ětem do 18 let ve výši 300 Kč, dospělým 200 Kč.</w:t>
      </w:r>
      <w:r w:rsidRPr="00502DED">
        <w:rPr>
          <w:szCs w:val="20"/>
        </w:rPr>
        <w:t xml:space="preserve"> Vloni jej čerpalo zhruba 20 tisíc klientů. </w:t>
      </w:r>
    </w:p>
    <w:p w14:paraId="2E1574E6" w14:textId="77777777" w:rsidR="00000A5A" w:rsidRPr="00502DED" w:rsidRDefault="00000A5A" w:rsidP="00000A5A">
      <w:pPr>
        <w:spacing w:before="0" w:line="276" w:lineRule="auto"/>
        <w:jc w:val="both"/>
        <w:rPr>
          <w:szCs w:val="20"/>
        </w:rPr>
      </w:pPr>
    </w:p>
    <w:p w14:paraId="7C625E05" w14:textId="77777777" w:rsidR="00000A5A" w:rsidRPr="00502DED" w:rsidRDefault="00000A5A" w:rsidP="00000A5A">
      <w:pPr>
        <w:spacing w:before="0" w:line="276" w:lineRule="auto"/>
        <w:jc w:val="both"/>
        <w:rPr>
          <w:b/>
          <w:szCs w:val="20"/>
        </w:rPr>
      </w:pPr>
      <w:r w:rsidRPr="00502DED">
        <w:rPr>
          <w:b/>
          <w:szCs w:val="20"/>
        </w:rPr>
        <w:lastRenderedPageBreak/>
        <w:t xml:space="preserve">Další podzimní očkování před nadcházející sezónou? Vakcíny proti RSV a covid-19 </w:t>
      </w:r>
    </w:p>
    <w:p w14:paraId="64BDE737" w14:textId="77777777" w:rsidR="00000A5A" w:rsidRPr="00502DED" w:rsidRDefault="00000A5A" w:rsidP="00000A5A">
      <w:pPr>
        <w:keepNext/>
        <w:keepLines/>
        <w:spacing w:before="0" w:line="276" w:lineRule="auto"/>
        <w:jc w:val="both"/>
        <w:rPr>
          <w:b/>
          <w:szCs w:val="20"/>
        </w:rPr>
      </w:pPr>
    </w:p>
    <w:p w14:paraId="1EC10ED6" w14:textId="7B31D0C3" w:rsidR="00000A5A" w:rsidRDefault="00000A5A" w:rsidP="00000A5A">
      <w:pPr>
        <w:keepNext/>
        <w:keepLines/>
        <w:spacing w:before="0" w:line="276" w:lineRule="auto"/>
        <w:jc w:val="both"/>
        <w:rPr>
          <w:b/>
          <w:szCs w:val="20"/>
        </w:rPr>
      </w:pPr>
      <w:r w:rsidRPr="00502DED">
        <w:rPr>
          <w:b/>
          <w:szCs w:val="20"/>
        </w:rPr>
        <w:t>RS viry</w:t>
      </w:r>
    </w:p>
    <w:p w14:paraId="4122CCCA" w14:textId="77777777" w:rsidR="00B25FE9" w:rsidRPr="00000A5A" w:rsidRDefault="00B25FE9" w:rsidP="00000A5A">
      <w:pPr>
        <w:keepNext/>
        <w:keepLines/>
        <w:spacing w:before="0" w:line="276" w:lineRule="auto"/>
        <w:jc w:val="both"/>
        <w:rPr>
          <w:b/>
          <w:szCs w:val="20"/>
        </w:rPr>
      </w:pPr>
    </w:p>
    <w:p w14:paraId="6F62E1E2" w14:textId="77777777" w:rsidR="00000A5A" w:rsidRPr="00502DED" w:rsidRDefault="00000A5A" w:rsidP="00000A5A">
      <w:pPr>
        <w:keepNext/>
        <w:keepLines/>
        <w:spacing w:before="0" w:line="276" w:lineRule="auto"/>
        <w:jc w:val="both"/>
        <w:rPr>
          <w:szCs w:val="20"/>
        </w:rPr>
      </w:pPr>
      <w:r w:rsidRPr="00502DED">
        <w:rPr>
          <w:szCs w:val="20"/>
        </w:rPr>
        <w:t xml:space="preserve">V průběhu podzimních, resp. zimních měsíců mívají zvýšený až epidemický výskyt také infekce způsobené RS viry, které způsobují infekce dýchacích cest a záněty průdušek. Nejčastěji se jimi nakazí malé děti, nejtěžší průběh onemocnění ale mívají naopak senioři. Očkování není hrazeno z veřejného zdravotního pojištění, VZP ale svým klientům starším 60 let přispívá na tuto vakcínu 2 000 Kč. Podrobnosti o příspěvcích na očkování na </w:t>
      </w:r>
      <w:hyperlink r:id="rId13" w:history="1">
        <w:r w:rsidRPr="00502DED">
          <w:rPr>
            <w:rStyle w:val="Hypertextovodkaz"/>
            <w:szCs w:val="20"/>
          </w:rPr>
          <w:t>webu VZP</w:t>
        </w:r>
      </w:hyperlink>
      <w:r w:rsidRPr="00502DED">
        <w:rPr>
          <w:szCs w:val="20"/>
        </w:rPr>
        <w:t xml:space="preserve">. </w:t>
      </w:r>
    </w:p>
    <w:p w14:paraId="3F809982" w14:textId="77777777" w:rsidR="00000A5A" w:rsidRPr="00502DED" w:rsidRDefault="00000A5A" w:rsidP="00000A5A">
      <w:pPr>
        <w:keepNext/>
        <w:keepLines/>
        <w:spacing w:before="0" w:line="276" w:lineRule="auto"/>
        <w:jc w:val="both"/>
        <w:rPr>
          <w:szCs w:val="20"/>
        </w:rPr>
      </w:pPr>
    </w:p>
    <w:p w14:paraId="3312059D" w14:textId="6F173646" w:rsidR="00000A5A" w:rsidRDefault="00000A5A" w:rsidP="00000A5A">
      <w:pPr>
        <w:keepNext/>
        <w:keepLines/>
        <w:spacing w:before="0" w:line="276" w:lineRule="auto"/>
        <w:jc w:val="both"/>
        <w:rPr>
          <w:b/>
          <w:szCs w:val="20"/>
        </w:rPr>
      </w:pPr>
      <w:r w:rsidRPr="00502DED">
        <w:rPr>
          <w:b/>
          <w:szCs w:val="20"/>
        </w:rPr>
        <w:t>Covid-19</w:t>
      </w:r>
    </w:p>
    <w:p w14:paraId="688A13EA" w14:textId="77777777" w:rsidR="00B25FE9" w:rsidRPr="00000A5A" w:rsidRDefault="00B25FE9" w:rsidP="00000A5A">
      <w:pPr>
        <w:keepNext/>
        <w:keepLines/>
        <w:spacing w:before="0" w:line="276" w:lineRule="auto"/>
        <w:jc w:val="both"/>
        <w:rPr>
          <w:b/>
          <w:szCs w:val="20"/>
        </w:rPr>
      </w:pPr>
    </w:p>
    <w:p w14:paraId="556E1926" w14:textId="77777777" w:rsidR="00000A5A" w:rsidRPr="00502DED" w:rsidRDefault="00000A5A" w:rsidP="00000A5A">
      <w:pPr>
        <w:pStyle w:val="Odstavecseseznamem"/>
        <w:keepNext/>
        <w:keepLines/>
        <w:numPr>
          <w:ilvl w:val="0"/>
          <w:numId w:val="5"/>
        </w:numPr>
        <w:spacing w:before="0" w:line="276" w:lineRule="auto"/>
        <w:contextualSpacing w:val="0"/>
        <w:jc w:val="both"/>
        <w:rPr>
          <w:szCs w:val="20"/>
        </w:rPr>
      </w:pPr>
      <w:r w:rsidRPr="00502DED">
        <w:rPr>
          <w:szCs w:val="20"/>
        </w:rPr>
        <w:t>Očkování</w:t>
      </w:r>
    </w:p>
    <w:p w14:paraId="7BC79AB9" w14:textId="77777777" w:rsidR="00000A5A" w:rsidRPr="00502DED" w:rsidRDefault="00000A5A" w:rsidP="00000A5A">
      <w:pPr>
        <w:keepNext/>
        <w:keepLines/>
        <w:spacing w:before="0" w:line="276" w:lineRule="auto"/>
        <w:jc w:val="both"/>
        <w:rPr>
          <w:szCs w:val="20"/>
        </w:rPr>
      </w:pPr>
    </w:p>
    <w:p w14:paraId="338795D5" w14:textId="77777777" w:rsidR="00000A5A" w:rsidRPr="00502DED" w:rsidRDefault="00000A5A" w:rsidP="00000A5A">
      <w:pPr>
        <w:spacing w:before="0" w:line="276" w:lineRule="auto"/>
        <w:jc w:val="both"/>
        <w:rPr>
          <w:szCs w:val="20"/>
        </w:rPr>
      </w:pPr>
      <w:r w:rsidRPr="00502DED">
        <w:rPr>
          <w:szCs w:val="20"/>
        </w:rPr>
        <w:t xml:space="preserve">Očkování je </w:t>
      </w:r>
      <w:hyperlink r:id="rId14" w:history="1">
        <w:r w:rsidRPr="00502DED">
          <w:rPr>
            <w:rStyle w:val="Hypertextovodkaz"/>
            <w:szCs w:val="20"/>
          </w:rPr>
          <w:t xml:space="preserve">Českou </w:t>
        </w:r>
        <w:proofErr w:type="spellStart"/>
        <w:r w:rsidRPr="00502DED">
          <w:rPr>
            <w:rStyle w:val="Hypertextovodkaz"/>
            <w:szCs w:val="20"/>
          </w:rPr>
          <w:t>vakcinologickou</w:t>
        </w:r>
        <w:proofErr w:type="spellEnd"/>
        <w:r w:rsidRPr="00502DED">
          <w:rPr>
            <w:rStyle w:val="Hypertextovodkaz"/>
            <w:szCs w:val="20"/>
          </w:rPr>
          <w:t xml:space="preserve"> společností</w:t>
        </w:r>
      </w:hyperlink>
      <w:r w:rsidRPr="00502DED">
        <w:rPr>
          <w:szCs w:val="20"/>
        </w:rPr>
        <w:t xml:space="preserve"> doporučeno zejména lidem starším 60 let, bez ohledu na věk osobám se závažným chronickým onemocněním, těhotným ženám, zdravotnickým pracovníkům, pracovníkům a klientům zařízení sociální péče atd.  </w:t>
      </w:r>
    </w:p>
    <w:p w14:paraId="7DC43E36" w14:textId="77777777" w:rsidR="00ED395C" w:rsidRDefault="00ED395C" w:rsidP="00000A5A">
      <w:pPr>
        <w:spacing w:before="0" w:line="276" w:lineRule="auto"/>
        <w:jc w:val="both"/>
        <w:rPr>
          <w:szCs w:val="20"/>
        </w:rPr>
      </w:pPr>
    </w:p>
    <w:p w14:paraId="738BD222" w14:textId="72AD9A8D" w:rsidR="00000A5A" w:rsidRPr="00502DED" w:rsidRDefault="00000A5A" w:rsidP="00000A5A">
      <w:pPr>
        <w:spacing w:before="0" w:line="276" w:lineRule="auto"/>
        <w:jc w:val="both"/>
        <w:rPr>
          <w:szCs w:val="20"/>
        </w:rPr>
      </w:pPr>
      <w:r w:rsidRPr="00502DED">
        <w:rPr>
          <w:szCs w:val="20"/>
        </w:rPr>
        <w:t xml:space="preserve">Očkovat se proti onemocnění covid-19 je možné celoročně, z důvodu četných respiračních onemocnění právě na přelomu podzimu a zimy je vhodné toto očkování absolvovat na začátku podzimu. </w:t>
      </w:r>
    </w:p>
    <w:p w14:paraId="500E4418" w14:textId="77777777" w:rsidR="00000A5A" w:rsidRPr="00502DED" w:rsidRDefault="00000A5A" w:rsidP="00000A5A">
      <w:pPr>
        <w:pStyle w:val="bodytextagency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E57274E" w14:textId="77777777" w:rsidR="00000A5A" w:rsidRPr="00502DED" w:rsidRDefault="00000A5A" w:rsidP="00000A5A">
      <w:pPr>
        <w:pStyle w:val="Odstavecseseznamem"/>
        <w:numPr>
          <w:ilvl w:val="0"/>
          <w:numId w:val="5"/>
        </w:numPr>
        <w:spacing w:before="0" w:line="276" w:lineRule="auto"/>
        <w:contextualSpacing w:val="0"/>
        <w:jc w:val="both"/>
        <w:rPr>
          <w:szCs w:val="20"/>
        </w:rPr>
      </w:pPr>
      <w:r w:rsidRPr="00502DED">
        <w:rPr>
          <w:szCs w:val="20"/>
        </w:rPr>
        <w:t>Testování</w:t>
      </w:r>
    </w:p>
    <w:p w14:paraId="008BCC55" w14:textId="77777777" w:rsidR="00000A5A" w:rsidRPr="00502DED" w:rsidRDefault="00000A5A" w:rsidP="00000A5A">
      <w:pPr>
        <w:spacing w:before="0" w:line="276" w:lineRule="auto"/>
        <w:jc w:val="both"/>
        <w:rPr>
          <w:szCs w:val="20"/>
        </w:rPr>
      </w:pPr>
    </w:p>
    <w:p w14:paraId="0E2A8910" w14:textId="30EC4988" w:rsidR="00000A5A" w:rsidRDefault="00000A5A" w:rsidP="00000A5A">
      <w:pPr>
        <w:spacing w:before="0" w:line="276" w:lineRule="auto"/>
        <w:jc w:val="both"/>
        <w:rPr>
          <w:szCs w:val="20"/>
        </w:rPr>
      </w:pPr>
      <w:r w:rsidRPr="00502DED">
        <w:rPr>
          <w:szCs w:val="20"/>
        </w:rPr>
        <w:t xml:space="preserve">Z veřejného zdravotního pojištění jsou hrazeny pouze diagnostické testy u symptomatických pacientů, u kterých lékař zhodnotí zdravotní stav a vystaví žádanku.  Test provedený na vlastní žádost, tedy bez žádanky od lékaře, není hrazen z veřejného zdravotního pojištění a pacient si ho musí uhradit sám. </w:t>
      </w:r>
    </w:p>
    <w:p w14:paraId="73CDB142" w14:textId="35161C6D" w:rsidR="00B25FE9" w:rsidRDefault="00B25FE9" w:rsidP="00000A5A">
      <w:pPr>
        <w:spacing w:before="0" w:line="276" w:lineRule="auto"/>
        <w:jc w:val="both"/>
        <w:rPr>
          <w:szCs w:val="20"/>
        </w:rPr>
      </w:pPr>
    </w:p>
    <w:p w14:paraId="2C4D475C" w14:textId="2BB74C05" w:rsidR="00B25FE9" w:rsidRDefault="00B25FE9" w:rsidP="00000A5A">
      <w:pPr>
        <w:spacing w:before="0" w:line="276" w:lineRule="auto"/>
        <w:jc w:val="both"/>
        <w:rPr>
          <w:szCs w:val="20"/>
        </w:rPr>
      </w:pPr>
    </w:p>
    <w:p w14:paraId="20E48E3F" w14:textId="77777777" w:rsidR="00B25FE9" w:rsidRPr="00502DED" w:rsidRDefault="00B25FE9" w:rsidP="00000A5A">
      <w:pPr>
        <w:spacing w:before="0" w:line="276" w:lineRule="auto"/>
        <w:jc w:val="both"/>
        <w:rPr>
          <w:szCs w:val="20"/>
        </w:rPr>
      </w:pPr>
    </w:p>
    <w:p w14:paraId="465AF1C0" w14:textId="340D835D" w:rsidR="00995BAE" w:rsidRPr="00117FF2" w:rsidRDefault="00526A50" w:rsidP="00B17C29">
      <w:pPr>
        <w:spacing w:before="0" w:line="276" w:lineRule="auto"/>
        <w:rPr>
          <w:b/>
          <w:bCs/>
          <w:szCs w:val="20"/>
        </w:rPr>
      </w:pPr>
      <w:r>
        <w:rPr>
          <w:b/>
          <w:bCs/>
          <w:szCs w:val="20"/>
        </w:rPr>
        <w:t>Viktorie Plívová</w:t>
      </w:r>
    </w:p>
    <w:p w14:paraId="29F91A9C" w14:textId="6787658C" w:rsidR="00995BAE" w:rsidRPr="00117FF2" w:rsidRDefault="00526A50" w:rsidP="00B17C29">
      <w:pPr>
        <w:spacing w:before="0" w:line="276" w:lineRule="auto"/>
        <w:rPr>
          <w:szCs w:val="20"/>
        </w:rPr>
      </w:pPr>
      <w:r>
        <w:rPr>
          <w:szCs w:val="20"/>
        </w:rPr>
        <w:t>Tisková mluvčí</w:t>
      </w:r>
    </w:p>
    <w:sectPr w:rsidR="00995BAE" w:rsidRPr="00117FF2" w:rsidSect="00F920F3">
      <w:footerReference w:type="default" r:id="rId15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E9CA1" w14:textId="77777777" w:rsidR="005168DA" w:rsidRDefault="005168DA" w:rsidP="00844E5F">
      <w:pPr>
        <w:spacing w:before="0" w:line="240" w:lineRule="auto"/>
      </w:pPr>
      <w:r>
        <w:separator/>
      </w:r>
    </w:p>
  </w:endnote>
  <w:endnote w:type="continuationSeparator" w:id="0">
    <w:p w14:paraId="14D72C40" w14:textId="77777777" w:rsidR="005168DA" w:rsidRDefault="005168DA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5361B" w14:textId="77777777" w:rsidR="005168DA" w:rsidRDefault="005168DA" w:rsidP="00844E5F">
      <w:pPr>
        <w:spacing w:before="0" w:line="240" w:lineRule="auto"/>
      </w:pPr>
      <w:r>
        <w:separator/>
      </w:r>
    </w:p>
  </w:footnote>
  <w:footnote w:type="continuationSeparator" w:id="0">
    <w:p w14:paraId="068B09C2" w14:textId="77777777" w:rsidR="005168DA" w:rsidRDefault="005168DA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3031A"/>
    <w:multiLevelType w:val="hybridMultilevel"/>
    <w:tmpl w:val="3AF06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C1801"/>
    <w:multiLevelType w:val="hybridMultilevel"/>
    <w:tmpl w:val="1D468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EE571F"/>
    <w:multiLevelType w:val="multilevel"/>
    <w:tmpl w:val="FE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00216"/>
    <w:multiLevelType w:val="multilevel"/>
    <w:tmpl w:val="7F9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24564"/>
    <w:multiLevelType w:val="multilevel"/>
    <w:tmpl w:val="B9D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00A5A"/>
    <w:rsid w:val="00021E10"/>
    <w:rsid w:val="000249DD"/>
    <w:rsid w:val="00027C53"/>
    <w:rsid w:val="00047E2A"/>
    <w:rsid w:val="00082A67"/>
    <w:rsid w:val="000B1A6B"/>
    <w:rsid w:val="000F0D97"/>
    <w:rsid w:val="000F600B"/>
    <w:rsid w:val="0010012F"/>
    <w:rsid w:val="00111EF0"/>
    <w:rsid w:val="00117FF2"/>
    <w:rsid w:val="0014539C"/>
    <w:rsid w:val="0016318C"/>
    <w:rsid w:val="0017097A"/>
    <w:rsid w:val="00172846"/>
    <w:rsid w:val="00173A2F"/>
    <w:rsid w:val="001746D3"/>
    <w:rsid w:val="001864B0"/>
    <w:rsid w:val="00190EE7"/>
    <w:rsid w:val="001A0F6D"/>
    <w:rsid w:val="001A6517"/>
    <w:rsid w:val="001C5526"/>
    <w:rsid w:val="001F5D10"/>
    <w:rsid w:val="002255E5"/>
    <w:rsid w:val="00250A59"/>
    <w:rsid w:val="002539D7"/>
    <w:rsid w:val="002670A4"/>
    <w:rsid w:val="00274A20"/>
    <w:rsid w:val="002C0105"/>
    <w:rsid w:val="002D542C"/>
    <w:rsid w:val="002E32D0"/>
    <w:rsid w:val="00315790"/>
    <w:rsid w:val="00322A4A"/>
    <w:rsid w:val="00372F77"/>
    <w:rsid w:val="00373449"/>
    <w:rsid w:val="00383732"/>
    <w:rsid w:val="00391204"/>
    <w:rsid w:val="003B3E13"/>
    <w:rsid w:val="003B637A"/>
    <w:rsid w:val="003C37EE"/>
    <w:rsid w:val="003D5F56"/>
    <w:rsid w:val="003F2E5F"/>
    <w:rsid w:val="003F6E42"/>
    <w:rsid w:val="004359B2"/>
    <w:rsid w:val="00454E77"/>
    <w:rsid w:val="004675A2"/>
    <w:rsid w:val="00471D79"/>
    <w:rsid w:val="004A77F8"/>
    <w:rsid w:val="004F361C"/>
    <w:rsid w:val="005168DA"/>
    <w:rsid w:val="00526A50"/>
    <w:rsid w:val="00550B65"/>
    <w:rsid w:val="0055776A"/>
    <w:rsid w:val="005735D4"/>
    <w:rsid w:val="005E5F77"/>
    <w:rsid w:val="005F4AFF"/>
    <w:rsid w:val="00603CF2"/>
    <w:rsid w:val="006445EF"/>
    <w:rsid w:val="006535BC"/>
    <w:rsid w:val="00691317"/>
    <w:rsid w:val="00692259"/>
    <w:rsid w:val="006C05CA"/>
    <w:rsid w:val="006E2FF8"/>
    <w:rsid w:val="006F103F"/>
    <w:rsid w:val="00706964"/>
    <w:rsid w:val="00712BC5"/>
    <w:rsid w:val="00721A96"/>
    <w:rsid w:val="00727D2B"/>
    <w:rsid w:val="00737858"/>
    <w:rsid w:val="007600C0"/>
    <w:rsid w:val="007608C5"/>
    <w:rsid w:val="00773145"/>
    <w:rsid w:val="007C63D9"/>
    <w:rsid w:val="00821F68"/>
    <w:rsid w:val="008402EF"/>
    <w:rsid w:val="008431C0"/>
    <w:rsid w:val="00844E5F"/>
    <w:rsid w:val="0085553F"/>
    <w:rsid w:val="008823D4"/>
    <w:rsid w:val="00892F70"/>
    <w:rsid w:val="00893971"/>
    <w:rsid w:val="00894D8B"/>
    <w:rsid w:val="008D26F1"/>
    <w:rsid w:val="008D3E0A"/>
    <w:rsid w:val="009029C4"/>
    <w:rsid w:val="009803FA"/>
    <w:rsid w:val="00980B26"/>
    <w:rsid w:val="00990166"/>
    <w:rsid w:val="0099061E"/>
    <w:rsid w:val="00995BAE"/>
    <w:rsid w:val="00996503"/>
    <w:rsid w:val="009A5375"/>
    <w:rsid w:val="009B432F"/>
    <w:rsid w:val="009C483E"/>
    <w:rsid w:val="009D2AEA"/>
    <w:rsid w:val="009D4881"/>
    <w:rsid w:val="009F0CA3"/>
    <w:rsid w:val="00A20EBA"/>
    <w:rsid w:val="00A2483D"/>
    <w:rsid w:val="00A2490D"/>
    <w:rsid w:val="00A34F8C"/>
    <w:rsid w:val="00A35BE7"/>
    <w:rsid w:val="00A371DD"/>
    <w:rsid w:val="00A51C44"/>
    <w:rsid w:val="00A770CA"/>
    <w:rsid w:val="00A90608"/>
    <w:rsid w:val="00A90703"/>
    <w:rsid w:val="00AD3AFC"/>
    <w:rsid w:val="00AD4972"/>
    <w:rsid w:val="00AE224E"/>
    <w:rsid w:val="00B06372"/>
    <w:rsid w:val="00B17C29"/>
    <w:rsid w:val="00B25FE9"/>
    <w:rsid w:val="00B4003E"/>
    <w:rsid w:val="00B47D31"/>
    <w:rsid w:val="00B63E32"/>
    <w:rsid w:val="00B76A28"/>
    <w:rsid w:val="00B81F16"/>
    <w:rsid w:val="00B90EBA"/>
    <w:rsid w:val="00BA2609"/>
    <w:rsid w:val="00BB023A"/>
    <w:rsid w:val="00BC0BD9"/>
    <w:rsid w:val="00BC2C45"/>
    <w:rsid w:val="00BE6D66"/>
    <w:rsid w:val="00BF69C5"/>
    <w:rsid w:val="00C251CC"/>
    <w:rsid w:val="00C4656F"/>
    <w:rsid w:val="00CC6E33"/>
    <w:rsid w:val="00CC7984"/>
    <w:rsid w:val="00CD0A20"/>
    <w:rsid w:val="00CD3CE1"/>
    <w:rsid w:val="00CF3D87"/>
    <w:rsid w:val="00D52D46"/>
    <w:rsid w:val="00D53AFC"/>
    <w:rsid w:val="00D63481"/>
    <w:rsid w:val="00D72CF4"/>
    <w:rsid w:val="00D74502"/>
    <w:rsid w:val="00D80B90"/>
    <w:rsid w:val="00D9066F"/>
    <w:rsid w:val="00D94D22"/>
    <w:rsid w:val="00D97DD6"/>
    <w:rsid w:val="00DB017F"/>
    <w:rsid w:val="00DB3173"/>
    <w:rsid w:val="00DB5B0D"/>
    <w:rsid w:val="00DE2289"/>
    <w:rsid w:val="00DF7A80"/>
    <w:rsid w:val="00E069DE"/>
    <w:rsid w:val="00E1044C"/>
    <w:rsid w:val="00E2331B"/>
    <w:rsid w:val="00E570CA"/>
    <w:rsid w:val="00E73E81"/>
    <w:rsid w:val="00E83AD6"/>
    <w:rsid w:val="00E87A89"/>
    <w:rsid w:val="00E971C2"/>
    <w:rsid w:val="00EB4987"/>
    <w:rsid w:val="00ED395C"/>
    <w:rsid w:val="00F019E9"/>
    <w:rsid w:val="00F01D09"/>
    <w:rsid w:val="00F07E49"/>
    <w:rsid w:val="00F27275"/>
    <w:rsid w:val="00F62A52"/>
    <w:rsid w:val="00F64632"/>
    <w:rsid w:val="00F920F3"/>
    <w:rsid w:val="00FA734A"/>
    <w:rsid w:val="00FC3E11"/>
    <w:rsid w:val="00FC65F4"/>
    <w:rsid w:val="00FF187C"/>
    <w:rsid w:val="00FF44C1"/>
    <w:rsid w:val="00FF640C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12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1001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0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03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03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03E"/>
    <w:rPr>
      <w:b/>
      <w:bCs/>
      <w:szCs w:val="20"/>
    </w:rPr>
  </w:style>
  <w:style w:type="paragraph" w:styleId="Revize">
    <w:name w:val="Revision"/>
    <w:hidden/>
    <w:uiPriority w:val="99"/>
    <w:semiHidden/>
    <w:rsid w:val="00B4003E"/>
  </w:style>
  <w:style w:type="paragraph" w:styleId="Textbubliny">
    <w:name w:val="Balloon Text"/>
    <w:basedOn w:val="Normln"/>
    <w:link w:val="TextbublinyChar"/>
    <w:uiPriority w:val="99"/>
    <w:semiHidden/>
    <w:unhideWhenUsed/>
    <w:rsid w:val="00B4003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03E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5">
    <w:name w:val="l5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02EF"/>
    <w:rPr>
      <w:i/>
      <w:iCs/>
    </w:rPr>
  </w:style>
  <w:style w:type="paragraph" w:customStyle="1" w:styleId="bodytextagency">
    <w:name w:val="bodytextagency"/>
    <w:basedOn w:val="Normln"/>
    <w:rsid w:val="0000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zp.cz/pojistenci/vyhody-a-prispevky/ockova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akcinace.eu/doporuceni-a-stanoviska/doporuceni-ceske-vakcinologicke-spolecnosti-cls-jep-k-ockovani-proti-chripce-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urostat/statistics-explained/index.php?title=Influenza_statistic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akcinace.eu/doporuceni-a-stanoviska/doporuceni-ceske-vakcinologicke-spolecnosti-cls-jep-cvs-k-ockovani-proti-onemocneni-covid-19-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2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Sixtová Jana Ing. (VZP ČR Ústředí)</cp:lastModifiedBy>
  <cp:revision>4</cp:revision>
  <cp:lastPrinted>2023-05-11T09:26:00Z</cp:lastPrinted>
  <dcterms:created xsi:type="dcterms:W3CDTF">2023-09-26T05:33:00Z</dcterms:created>
  <dcterms:modified xsi:type="dcterms:W3CDTF">2023-09-26T05:52:00Z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