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2835"/>
        <w:gridCol w:w="2688"/>
      </w:tblGrid>
      <w:tr w:rsidR="00F62A52" w14:paraId="2070A1D7" w14:textId="77777777" w:rsidTr="00F62A52">
        <w:trPr>
          <w:trHeight w:val="653"/>
        </w:trPr>
        <w:tc>
          <w:tcPr>
            <w:tcW w:w="3828" w:type="dxa"/>
          </w:tcPr>
          <w:p w14:paraId="1F5AB69B" w14:textId="77777777" w:rsidR="00F62A52" w:rsidRPr="006445EF" w:rsidRDefault="00F62A52" w:rsidP="00821F68">
            <w:pPr>
              <w:pStyle w:val="Bezmezer"/>
              <w:spacing w:line="276" w:lineRule="auto"/>
              <w:ind w:left="-107"/>
              <w:jc w:val="both"/>
              <w:rPr>
                <w:rFonts w:ascii="Arial" w:hAnsi="Arial"/>
              </w:rPr>
            </w:pPr>
            <w:r w:rsidRPr="006445EF">
              <w:rPr>
                <w:rFonts w:ascii="Arial" w:hAnsi="Arial"/>
                <w:noProof/>
              </w:rPr>
              <w:drawing>
                <wp:inline distT="0" distB="0" distL="0" distR="0" wp14:anchorId="0A6C4141" wp14:editId="0DD92374">
                  <wp:extent cx="2095130" cy="431350"/>
                  <wp:effectExtent l="0" t="0" r="635" b="635"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ázek 3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3777" cy="451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14:paraId="07C7B36B" w14:textId="77777777" w:rsidR="00F62A52" w:rsidRPr="00372F77" w:rsidRDefault="00F62A52" w:rsidP="00821F68">
            <w:pPr>
              <w:pStyle w:val="Normlnmini"/>
              <w:spacing w:line="276" w:lineRule="auto"/>
              <w:rPr>
                <w:sz w:val="20"/>
                <w:szCs w:val="20"/>
              </w:rPr>
            </w:pPr>
            <w:r w:rsidRPr="00372F77">
              <w:rPr>
                <w:sz w:val="20"/>
                <w:szCs w:val="20"/>
              </w:rPr>
              <w:t>VZP ČR</w:t>
            </w:r>
          </w:p>
          <w:p w14:paraId="1C95FFE0" w14:textId="3A2D5E41" w:rsidR="00F62A52" w:rsidRPr="00372F77" w:rsidRDefault="00E069DE" w:rsidP="00821F68">
            <w:pPr>
              <w:pStyle w:val="Normlnmini"/>
              <w:spacing w:line="276" w:lineRule="auto"/>
              <w:rPr>
                <w:sz w:val="20"/>
                <w:szCs w:val="20"/>
              </w:rPr>
            </w:pPr>
            <w:r w:rsidRPr="00372F77">
              <w:rPr>
                <w:sz w:val="20"/>
                <w:szCs w:val="20"/>
              </w:rPr>
              <w:t>Orlická 2020</w:t>
            </w:r>
            <w:r w:rsidR="009C483E" w:rsidRPr="00372F77">
              <w:rPr>
                <w:sz w:val="20"/>
                <w:szCs w:val="20"/>
              </w:rPr>
              <w:t>/4</w:t>
            </w:r>
          </w:p>
          <w:p w14:paraId="5FE91F37" w14:textId="3CF175B5" w:rsidR="00F62A52" w:rsidRDefault="00E069DE" w:rsidP="00821F68">
            <w:pPr>
              <w:pStyle w:val="Normlnmini"/>
              <w:spacing w:line="276" w:lineRule="auto"/>
            </w:pPr>
            <w:r w:rsidRPr="00372F77">
              <w:rPr>
                <w:sz w:val="20"/>
                <w:szCs w:val="20"/>
              </w:rPr>
              <w:t xml:space="preserve">130 </w:t>
            </w:r>
            <w:proofErr w:type="gramStart"/>
            <w:r w:rsidRPr="00372F77">
              <w:rPr>
                <w:sz w:val="20"/>
                <w:szCs w:val="20"/>
              </w:rPr>
              <w:t>00  Praha</w:t>
            </w:r>
            <w:proofErr w:type="gramEnd"/>
            <w:r w:rsidRPr="00372F77">
              <w:rPr>
                <w:sz w:val="20"/>
                <w:szCs w:val="20"/>
              </w:rPr>
              <w:t xml:space="preserve"> 3</w:t>
            </w:r>
          </w:p>
        </w:tc>
        <w:tc>
          <w:tcPr>
            <w:tcW w:w="2688" w:type="dxa"/>
            <w:vAlign w:val="bottom"/>
          </w:tcPr>
          <w:p w14:paraId="0D5F69F5" w14:textId="147D76C0" w:rsidR="00F62A52" w:rsidRPr="000F600B" w:rsidRDefault="000F0D97" w:rsidP="00821F68">
            <w:pPr>
              <w:pStyle w:val="NORMLNkapitlky"/>
              <w:spacing w:line="276" w:lineRule="auto"/>
              <w:ind w:hanging="107"/>
              <w:rPr>
                <w:rFonts w:cs="Arial"/>
                <w:szCs w:val="16"/>
              </w:rPr>
            </w:pPr>
            <w:r w:rsidRPr="000F600B">
              <w:rPr>
                <w:rFonts w:cs="Arial"/>
                <w:szCs w:val="16"/>
              </w:rPr>
              <w:t>TISKOVÁ ZPRÁVA</w:t>
            </w:r>
          </w:p>
        </w:tc>
      </w:tr>
    </w:tbl>
    <w:p w14:paraId="61E6DF08" w14:textId="336A0F33" w:rsidR="004A77F8" w:rsidRPr="008823D4" w:rsidRDefault="004A77F8" w:rsidP="00821F68">
      <w:pPr>
        <w:pStyle w:val="Normlnmini"/>
        <w:spacing w:line="276" w:lineRule="auto"/>
        <w:rPr>
          <w:sz w:val="20"/>
        </w:rPr>
      </w:pPr>
    </w:p>
    <w:p w14:paraId="06D5D918" w14:textId="54F61EB9" w:rsidR="00AD3AFC" w:rsidRPr="008823D4" w:rsidRDefault="00AD3AFC" w:rsidP="00821F68">
      <w:pPr>
        <w:pStyle w:val="Normlnmini"/>
        <w:spacing w:line="276" w:lineRule="auto"/>
        <w:rPr>
          <w:sz w:val="20"/>
        </w:rPr>
      </w:pPr>
    </w:p>
    <w:p w14:paraId="62ED152C" w14:textId="1CA54941" w:rsidR="00995BAE" w:rsidRPr="00D9066F" w:rsidRDefault="00995BAE" w:rsidP="00821F68">
      <w:pPr>
        <w:spacing w:before="0" w:line="276" w:lineRule="auto"/>
        <w:jc w:val="right"/>
        <w:rPr>
          <w:color w:val="212121"/>
          <w:szCs w:val="20"/>
        </w:rPr>
      </w:pPr>
      <w:r w:rsidRPr="00D9066F">
        <w:rPr>
          <w:color w:val="212121"/>
          <w:szCs w:val="20"/>
        </w:rPr>
        <w:t xml:space="preserve">Praha </w:t>
      </w:r>
      <w:r w:rsidR="00473156">
        <w:rPr>
          <w:color w:val="212121"/>
          <w:szCs w:val="20"/>
        </w:rPr>
        <w:t>20</w:t>
      </w:r>
      <w:r w:rsidR="00CD0A20">
        <w:rPr>
          <w:color w:val="212121"/>
          <w:szCs w:val="20"/>
        </w:rPr>
        <w:t xml:space="preserve">. </w:t>
      </w:r>
      <w:r w:rsidR="00821F68">
        <w:rPr>
          <w:color w:val="212121"/>
          <w:szCs w:val="20"/>
        </w:rPr>
        <w:t>9</w:t>
      </w:r>
      <w:r w:rsidR="00CD0A20">
        <w:rPr>
          <w:color w:val="212121"/>
          <w:szCs w:val="20"/>
        </w:rPr>
        <w:t xml:space="preserve">. </w:t>
      </w:r>
      <w:r w:rsidRPr="00D9066F">
        <w:rPr>
          <w:color w:val="212121"/>
          <w:szCs w:val="20"/>
        </w:rPr>
        <w:t>202</w:t>
      </w:r>
      <w:r w:rsidR="00D9066F">
        <w:rPr>
          <w:color w:val="212121"/>
          <w:szCs w:val="20"/>
        </w:rPr>
        <w:t>3</w:t>
      </w:r>
    </w:p>
    <w:p w14:paraId="1E472709" w14:textId="77777777" w:rsidR="00CC6E33" w:rsidRDefault="00CC6E33" w:rsidP="00821F68">
      <w:pPr>
        <w:spacing w:before="0" w:line="276" w:lineRule="auto"/>
        <w:jc w:val="both"/>
        <w:rPr>
          <w:b/>
          <w:bCs/>
          <w:color w:val="D22D0F"/>
          <w:sz w:val="32"/>
          <w:szCs w:val="32"/>
        </w:rPr>
      </w:pPr>
    </w:p>
    <w:p w14:paraId="64BF7589" w14:textId="77777777" w:rsidR="00B17C29" w:rsidRPr="00321A0B" w:rsidRDefault="00B17C29" w:rsidP="00B17C29">
      <w:pPr>
        <w:spacing w:line="276" w:lineRule="auto"/>
        <w:jc w:val="both"/>
        <w:rPr>
          <w:b/>
          <w:bCs/>
          <w:color w:val="D22D0F"/>
          <w:sz w:val="32"/>
          <w:szCs w:val="32"/>
        </w:rPr>
      </w:pPr>
      <w:r w:rsidRPr="00321A0B">
        <w:rPr>
          <w:b/>
          <w:bCs/>
          <w:color w:val="D22D0F"/>
          <w:sz w:val="32"/>
          <w:szCs w:val="32"/>
        </w:rPr>
        <w:t xml:space="preserve">Nemocných s Alzheimerovou chorobou bylo mezi klienty VZP poprvé víc než 50 tisíc, časný záchyt prodlouží soběstačnost pacienta </w:t>
      </w:r>
    </w:p>
    <w:p w14:paraId="12100C84" w14:textId="77777777" w:rsidR="00B17C29" w:rsidRDefault="00B17C29" w:rsidP="00B17C29">
      <w:pPr>
        <w:spacing w:before="0" w:line="276" w:lineRule="auto"/>
        <w:jc w:val="both"/>
        <w:rPr>
          <w:b/>
          <w:szCs w:val="20"/>
        </w:rPr>
      </w:pPr>
    </w:p>
    <w:p w14:paraId="2E38147A" w14:textId="0092BF6B" w:rsidR="00B17C29" w:rsidRPr="00321A0B" w:rsidRDefault="00B17C29" w:rsidP="00B17C29">
      <w:pPr>
        <w:spacing w:before="0" w:line="276" w:lineRule="auto"/>
        <w:jc w:val="both"/>
        <w:rPr>
          <w:b/>
          <w:szCs w:val="20"/>
        </w:rPr>
      </w:pPr>
      <w:r w:rsidRPr="00321A0B">
        <w:rPr>
          <w:b/>
          <w:szCs w:val="20"/>
        </w:rPr>
        <w:t>Alzheimerovu chorobu vyléčit nelze, je ale možné zpomalit její nástup a prodloužit tak soběstačný život nemocného. Důležité je nemoc diagnostikovat včas. Všeobecní praktičtí lékaři proto provádí u pacientů nad 65 let v rámci preventivní prohlídky test na časný záchyt Alzheimerovy choroby, tzv. Mini-</w:t>
      </w:r>
      <w:proofErr w:type="spellStart"/>
      <w:r w:rsidRPr="00321A0B">
        <w:rPr>
          <w:b/>
          <w:szCs w:val="20"/>
        </w:rPr>
        <w:t>cog</w:t>
      </w:r>
      <w:proofErr w:type="spellEnd"/>
      <w:r w:rsidRPr="00321A0B">
        <w:rPr>
          <w:b/>
          <w:szCs w:val="20"/>
        </w:rPr>
        <w:t xml:space="preserve"> test. Za první pololetí letošního roku těchto testů jen mezi klienty VZP provedli praktičtí lékaři víc než 50 tisíc. Statistiku vydává VZP v souvislosti s připomenutím Mezinárodního dne Alzheimerovy choroby</w:t>
      </w:r>
      <w:r w:rsidR="00F359D3">
        <w:rPr>
          <w:b/>
          <w:szCs w:val="20"/>
        </w:rPr>
        <w:t>, který připadá 21. září</w:t>
      </w:r>
      <w:bookmarkStart w:id="0" w:name="_GoBack"/>
      <w:bookmarkEnd w:id="0"/>
      <w:r w:rsidRPr="00321A0B">
        <w:rPr>
          <w:b/>
          <w:szCs w:val="20"/>
        </w:rPr>
        <w:t xml:space="preserve">. </w:t>
      </w:r>
    </w:p>
    <w:p w14:paraId="0BD0A472" w14:textId="77777777" w:rsidR="00B17C29" w:rsidRDefault="00B17C29" w:rsidP="00B17C29">
      <w:pPr>
        <w:spacing w:before="0" w:line="276" w:lineRule="auto"/>
        <w:jc w:val="both"/>
      </w:pPr>
    </w:p>
    <w:p w14:paraId="2ED2E03E" w14:textId="5CD5A966" w:rsidR="00B17C29" w:rsidRPr="00321A0B" w:rsidRDefault="00B17C29" w:rsidP="00B17C29">
      <w:pPr>
        <w:spacing w:before="0" w:line="276" w:lineRule="auto"/>
        <w:jc w:val="both"/>
      </w:pPr>
      <w:r w:rsidRPr="00321A0B">
        <w:t xml:space="preserve">Dle odborných odhadů trpí Alzheimerovou chorobou v České republice asi 150 tisíc lidí a dle publikace Alzheimer </w:t>
      </w:r>
      <w:proofErr w:type="spellStart"/>
      <w:r w:rsidRPr="00321A0B">
        <w:t>Europe</w:t>
      </w:r>
      <w:proofErr w:type="spellEnd"/>
      <w:r w:rsidRPr="00321A0B">
        <w:t xml:space="preserve"> (</w:t>
      </w:r>
      <w:proofErr w:type="spellStart"/>
      <w:r w:rsidRPr="00321A0B">
        <w:fldChar w:fldCharType="begin"/>
      </w:r>
      <w:r w:rsidRPr="00321A0B">
        <w:instrText xml:space="preserve"> HYPERLINK "https://www.alzheimer-europe.org/resources/publications" </w:instrText>
      </w:r>
      <w:r w:rsidRPr="00321A0B">
        <w:fldChar w:fldCharType="separate"/>
      </w:r>
      <w:r w:rsidRPr="00321A0B">
        <w:rPr>
          <w:rStyle w:val="Hypertextovodkaz"/>
        </w:rPr>
        <w:t>Dementia</w:t>
      </w:r>
      <w:proofErr w:type="spellEnd"/>
      <w:r w:rsidRPr="00321A0B">
        <w:rPr>
          <w:rStyle w:val="Hypertextovodkaz"/>
        </w:rPr>
        <w:t xml:space="preserve"> in </w:t>
      </w:r>
      <w:proofErr w:type="spellStart"/>
      <w:r w:rsidRPr="00321A0B">
        <w:rPr>
          <w:rStyle w:val="Hypertextovodkaz"/>
        </w:rPr>
        <w:t>Europe</w:t>
      </w:r>
      <w:proofErr w:type="spellEnd"/>
      <w:r w:rsidRPr="00321A0B">
        <w:rPr>
          <w:rStyle w:val="Hypertextovodkaz"/>
        </w:rPr>
        <w:t xml:space="preserve"> </w:t>
      </w:r>
      <w:proofErr w:type="spellStart"/>
      <w:r w:rsidRPr="00321A0B">
        <w:rPr>
          <w:rStyle w:val="Hypertextovodkaz"/>
        </w:rPr>
        <w:t>Yearbook</w:t>
      </w:r>
      <w:proofErr w:type="spellEnd"/>
      <w:r w:rsidRPr="00321A0B">
        <w:rPr>
          <w:rStyle w:val="Hypertextovodkaz"/>
        </w:rPr>
        <w:t xml:space="preserve"> 2019</w:t>
      </w:r>
      <w:r w:rsidRPr="00321A0B">
        <w:fldChar w:fldCharType="end"/>
      </w:r>
      <w:r w:rsidRPr="00321A0B">
        <w:t>) se toto číslo do roku 2050 téměř zdvojnásobí. Přesný počet lidí s Alzheimerovou chorobou ale znám není, ne u všech pacientů je nemoc diagnostikována. I mezi klienty VZP ale počet těch s Alzheimerovou nemocí rok od roku roste. Vloni poprvé jejich počet překročil hranici 50 tisíc, tj. o 13 % více než před pěti lety. Pojišťovna za léčbu vloni uhradila 1,7 mld. Kč.</w:t>
      </w:r>
    </w:p>
    <w:p w14:paraId="0C89E905" w14:textId="77777777" w:rsidR="00B17C29" w:rsidRDefault="00B17C29" w:rsidP="00B17C29">
      <w:pPr>
        <w:spacing w:before="0" w:line="276" w:lineRule="auto"/>
        <w:jc w:val="both"/>
      </w:pPr>
      <w:r w:rsidRPr="00321A0B">
        <w:t xml:space="preserve"> </w:t>
      </w:r>
    </w:p>
    <w:p w14:paraId="4E4D3702" w14:textId="5E415C97" w:rsidR="00B17C29" w:rsidRPr="00321A0B" w:rsidRDefault="00B17C29" w:rsidP="00B17C29">
      <w:pPr>
        <w:spacing w:before="0" w:line="276" w:lineRule="auto"/>
        <w:jc w:val="both"/>
        <w:rPr>
          <w:b/>
        </w:rPr>
      </w:pPr>
      <w:r w:rsidRPr="00321A0B">
        <w:rPr>
          <w:b/>
        </w:rPr>
        <w:t>Pacienti s Alzheimerovou chorobou za posledních 5 let</w:t>
      </w:r>
    </w:p>
    <w:tbl>
      <w:tblPr>
        <w:tblW w:w="9062" w:type="dxa"/>
        <w:tblBorders>
          <w:top w:val="single" w:sz="6" w:space="0" w:color="FFFFFF" w:themeColor="background1"/>
          <w:left w:val="single" w:sz="6" w:space="0" w:color="FFFFFF" w:themeColor="background1"/>
          <w:bottom w:val="single" w:sz="6" w:space="0" w:color="FFFFFF" w:themeColor="background1"/>
          <w:right w:val="single" w:sz="6" w:space="0" w:color="FFFFFF" w:themeColor="background1"/>
          <w:insideH w:val="single" w:sz="6" w:space="0" w:color="FFFFFF" w:themeColor="background1"/>
          <w:insideV w:val="single" w:sz="6" w:space="0" w:color="FFFFFF" w:themeColor="background1"/>
        </w:tblBorders>
        <w:tblLook w:val="04A0" w:firstRow="1" w:lastRow="0" w:firstColumn="1" w:lastColumn="0" w:noHBand="0" w:noVBand="1"/>
      </w:tblPr>
      <w:tblGrid>
        <w:gridCol w:w="2265"/>
        <w:gridCol w:w="2266"/>
        <w:gridCol w:w="2265"/>
        <w:gridCol w:w="2266"/>
      </w:tblGrid>
      <w:tr w:rsidR="00B17C29" w:rsidRPr="00321A0B" w14:paraId="0500AA83" w14:textId="77777777" w:rsidTr="007A71B8">
        <w:tc>
          <w:tcPr>
            <w:tcW w:w="2265" w:type="dxa"/>
            <w:shd w:val="clear" w:color="auto" w:fill="C0504D"/>
            <w:vAlign w:val="center"/>
          </w:tcPr>
          <w:p w14:paraId="03442C5C" w14:textId="77777777" w:rsidR="00B17C29" w:rsidRPr="00321A0B" w:rsidRDefault="00B17C29" w:rsidP="00B17C29">
            <w:pPr>
              <w:keepNext/>
              <w:keepLines/>
              <w:spacing w:before="0" w:line="276" w:lineRule="auto"/>
              <w:jc w:val="both"/>
              <w:rPr>
                <w:rFonts w:eastAsia="Calibri"/>
                <w:b/>
                <w:bCs/>
                <w:color w:val="FFFFFF"/>
              </w:rPr>
            </w:pPr>
          </w:p>
        </w:tc>
        <w:tc>
          <w:tcPr>
            <w:tcW w:w="2266" w:type="dxa"/>
            <w:shd w:val="clear" w:color="auto" w:fill="C0504D"/>
            <w:vAlign w:val="center"/>
          </w:tcPr>
          <w:p w14:paraId="696676B9" w14:textId="77777777" w:rsidR="00B17C29" w:rsidRPr="00321A0B" w:rsidRDefault="00B17C29" w:rsidP="00B17C29">
            <w:pPr>
              <w:pStyle w:val="Bezmezer"/>
              <w:spacing w:line="276" w:lineRule="auto"/>
              <w:jc w:val="center"/>
              <w:rPr>
                <w:rFonts w:ascii="Arial" w:hAnsi="Arial"/>
                <w:b/>
                <w:bCs/>
                <w:color w:val="FFFFFF"/>
                <w:szCs w:val="20"/>
              </w:rPr>
            </w:pPr>
            <w:r w:rsidRPr="00321A0B">
              <w:rPr>
                <w:rFonts w:ascii="Arial" w:hAnsi="Arial"/>
                <w:b/>
                <w:bCs/>
                <w:color w:val="FFFFFF"/>
                <w:szCs w:val="20"/>
              </w:rPr>
              <w:t>Počet pacientů</w:t>
            </w:r>
          </w:p>
        </w:tc>
        <w:tc>
          <w:tcPr>
            <w:tcW w:w="2265" w:type="dxa"/>
            <w:shd w:val="clear" w:color="auto" w:fill="C0504D"/>
            <w:vAlign w:val="center"/>
          </w:tcPr>
          <w:p w14:paraId="1AE584FB" w14:textId="77777777" w:rsidR="00B17C29" w:rsidRPr="00321A0B" w:rsidRDefault="00B17C29" w:rsidP="00B17C29">
            <w:pPr>
              <w:pStyle w:val="Bezmezer"/>
              <w:spacing w:line="276" w:lineRule="auto"/>
              <w:jc w:val="center"/>
              <w:rPr>
                <w:rFonts w:ascii="Arial" w:hAnsi="Arial"/>
                <w:b/>
                <w:bCs/>
                <w:color w:val="FFFFFF"/>
                <w:szCs w:val="20"/>
              </w:rPr>
            </w:pPr>
            <w:r w:rsidRPr="00321A0B">
              <w:rPr>
                <w:rFonts w:ascii="Arial" w:hAnsi="Arial"/>
                <w:b/>
                <w:bCs/>
                <w:color w:val="FFFFFF"/>
                <w:szCs w:val="20"/>
              </w:rPr>
              <w:t>Náklady v tis. Kč</w:t>
            </w:r>
          </w:p>
        </w:tc>
        <w:tc>
          <w:tcPr>
            <w:tcW w:w="2266" w:type="dxa"/>
            <w:shd w:val="clear" w:color="auto" w:fill="C0504D"/>
          </w:tcPr>
          <w:p w14:paraId="722B5FA1" w14:textId="77777777" w:rsidR="00B17C29" w:rsidRPr="00321A0B" w:rsidRDefault="00B17C29" w:rsidP="00B17C29">
            <w:pPr>
              <w:pStyle w:val="Bezmezer"/>
              <w:spacing w:line="276" w:lineRule="auto"/>
              <w:jc w:val="center"/>
              <w:rPr>
                <w:rFonts w:ascii="Arial" w:hAnsi="Arial"/>
                <w:b/>
                <w:bCs/>
                <w:color w:val="FFFFFF"/>
                <w:szCs w:val="20"/>
              </w:rPr>
            </w:pPr>
            <w:r w:rsidRPr="00321A0B">
              <w:rPr>
                <w:rFonts w:ascii="Arial" w:hAnsi="Arial"/>
                <w:b/>
                <w:bCs/>
                <w:color w:val="FFFFFF"/>
                <w:szCs w:val="20"/>
              </w:rPr>
              <w:t>Průměr na pacienta v tis. Kč</w:t>
            </w:r>
          </w:p>
        </w:tc>
      </w:tr>
      <w:tr w:rsidR="00B17C29" w:rsidRPr="00321A0B" w14:paraId="7412F317" w14:textId="77777777" w:rsidTr="007A71B8">
        <w:tc>
          <w:tcPr>
            <w:tcW w:w="2265" w:type="dxa"/>
            <w:shd w:val="clear" w:color="auto" w:fill="C0504D"/>
            <w:vAlign w:val="center"/>
          </w:tcPr>
          <w:p w14:paraId="059A235C" w14:textId="77777777" w:rsidR="00B17C29" w:rsidRPr="00321A0B" w:rsidRDefault="00B17C29" w:rsidP="00B17C29">
            <w:pPr>
              <w:pStyle w:val="Bezmezer"/>
              <w:spacing w:line="276" w:lineRule="auto"/>
              <w:jc w:val="center"/>
              <w:rPr>
                <w:rFonts w:ascii="Arial" w:hAnsi="Arial"/>
                <w:b/>
                <w:bCs/>
                <w:color w:val="FFFFFF"/>
                <w:szCs w:val="20"/>
              </w:rPr>
            </w:pPr>
            <w:r w:rsidRPr="00321A0B">
              <w:rPr>
                <w:rFonts w:ascii="Arial" w:hAnsi="Arial"/>
                <w:b/>
                <w:bCs/>
                <w:color w:val="FFFFFF"/>
                <w:szCs w:val="20"/>
              </w:rPr>
              <w:t>2018</w:t>
            </w:r>
          </w:p>
        </w:tc>
        <w:tc>
          <w:tcPr>
            <w:tcW w:w="2266" w:type="dxa"/>
            <w:shd w:val="clear" w:color="auto" w:fill="DFA7A6"/>
          </w:tcPr>
          <w:p w14:paraId="054B23A4" w14:textId="77777777" w:rsidR="00B17C29" w:rsidRPr="00321A0B" w:rsidRDefault="00B17C29" w:rsidP="00B17C29">
            <w:pPr>
              <w:spacing w:before="0" w:line="276" w:lineRule="auto"/>
              <w:jc w:val="right"/>
            </w:pPr>
            <w:r w:rsidRPr="00321A0B">
              <w:t>44 181</w:t>
            </w:r>
          </w:p>
        </w:tc>
        <w:tc>
          <w:tcPr>
            <w:tcW w:w="2265" w:type="dxa"/>
            <w:shd w:val="clear" w:color="auto" w:fill="DFA7A6"/>
          </w:tcPr>
          <w:p w14:paraId="2EA30C4B" w14:textId="77777777" w:rsidR="00B17C29" w:rsidRPr="00321A0B" w:rsidRDefault="00B17C29" w:rsidP="00B17C29">
            <w:pPr>
              <w:spacing w:before="0" w:line="276" w:lineRule="auto"/>
              <w:jc w:val="right"/>
            </w:pPr>
            <w:r w:rsidRPr="00321A0B">
              <w:t>1 271 729</w:t>
            </w:r>
          </w:p>
        </w:tc>
        <w:tc>
          <w:tcPr>
            <w:tcW w:w="2266" w:type="dxa"/>
            <w:shd w:val="clear" w:color="auto" w:fill="DFA7A6"/>
            <w:vAlign w:val="bottom"/>
          </w:tcPr>
          <w:p w14:paraId="401B5830" w14:textId="77777777" w:rsidR="00B17C29" w:rsidRPr="00321A0B" w:rsidRDefault="00B17C29" w:rsidP="00B17C29">
            <w:pPr>
              <w:spacing w:before="0" w:line="276" w:lineRule="auto"/>
              <w:jc w:val="right"/>
            </w:pPr>
            <w:r w:rsidRPr="00321A0B">
              <w:t>28,8</w:t>
            </w:r>
          </w:p>
        </w:tc>
      </w:tr>
      <w:tr w:rsidR="00B17C29" w:rsidRPr="00321A0B" w14:paraId="7AF04E59" w14:textId="77777777" w:rsidTr="007A71B8">
        <w:tc>
          <w:tcPr>
            <w:tcW w:w="2265" w:type="dxa"/>
            <w:shd w:val="clear" w:color="auto" w:fill="C0504D"/>
            <w:vAlign w:val="center"/>
          </w:tcPr>
          <w:p w14:paraId="1604A867" w14:textId="77777777" w:rsidR="00B17C29" w:rsidRPr="00321A0B" w:rsidRDefault="00B17C29" w:rsidP="00B17C29">
            <w:pPr>
              <w:pStyle w:val="Bezmezer"/>
              <w:spacing w:line="276" w:lineRule="auto"/>
              <w:jc w:val="center"/>
              <w:rPr>
                <w:rFonts w:ascii="Arial" w:hAnsi="Arial"/>
                <w:b/>
                <w:bCs/>
                <w:color w:val="FFFFFF"/>
                <w:szCs w:val="20"/>
              </w:rPr>
            </w:pPr>
            <w:r w:rsidRPr="00321A0B">
              <w:rPr>
                <w:rFonts w:ascii="Arial" w:hAnsi="Arial"/>
                <w:b/>
                <w:bCs/>
                <w:color w:val="FFFFFF"/>
                <w:szCs w:val="20"/>
              </w:rPr>
              <w:t>2019</w:t>
            </w:r>
          </w:p>
        </w:tc>
        <w:tc>
          <w:tcPr>
            <w:tcW w:w="2266" w:type="dxa"/>
            <w:shd w:val="clear" w:color="auto" w:fill="EFD3D2"/>
          </w:tcPr>
          <w:p w14:paraId="4BBD3263" w14:textId="77777777" w:rsidR="00B17C29" w:rsidRPr="00321A0B" w:rsidRDefault="00B17C29" w:rsidP="00B17C29">
            <w:pPr>
              <w:spacing w:before="0" w:line="276" w:lineRule="auto"/>
              <w:jc w:val="right"/>
            </w:pPr>
            <w:r w:rsidRPr="00321A0B">
              <w:t>46 687</w:t>
            </w:r>
          </w:p>
        </w:tc>
        <w:tc>
          <w:tcPr>
            <w:tcW w:w="2265" w:type="dxa"/>
            <w:shd w:val="clear" w:color="auto" w:fill="EFD3D2"/>
          </w:tcPr>
          <w:p w14:paraId="3442D7EF" w14:textId="77777777" w:rsidR="00B17C29" w:rsidRPr="00321A0B" w:rsidRDefault="00B17C29" w:rsidP="00B17C29">
            <w:pPr>
              <w:spacing w:before="0" w:line="276" w:lineRule="auto"/>
              <w:jc w:val="right"/>
            </w:pPr>
            <w:r w:rsidRPr="00321A0B">
              <w:t>1 480 116</w:t>
            </w:r>
          </w:p>
        </w:tc>
        <w:tc>
          <w:tcPr>
            <w:tcW w:w="2266" w:type="dxa"/>
            <w:shd w:val="clear" w:color="auto" w:fill="EFD3D2"/>
            <w:vAlign w:val="bottom"/>
          </w:tcPr>
          <w:p w14:paraId="0362A8BF" w14:textId="77777777" w:rsidR="00B17C29" w:rsidRPr="00321A0B" w:rsidRDefault="00B17C29" w:rsidP="00B17C29">
            <w:pPr>
              <w:spacing w:before="0" w:line="276" w:lineRule="auto"/>
              <w:jc w:val="right"/>
            </w:pPr>
            <w:r w:rsidRPr="00321A0B">
              <w:t>31,7</w:t>
            </w:r>
          </w:p>
        </w:tc>
      </w:tr>
      <w:tr w:rsidR="00B17C29" w:rsidRPr="00321A0B" w14:paraId="46B05431" w14:textId="77777777" w:rsidTr="007A71B8">
        <w:trPr>
          <w:trHeight w:val="65"/>
        </w:trPr>
        <w:tc>
          <w:tcPr>
            <w:tcW w:w="2265" w:type="dxa"/>
            <w:shd w:val="clear" w:color="auto" w:fill="C0504D"/>
            <w:vAlign w:val="center"/>
          </w:tcPr>
          <w:p w14:paraId="6FFA978D" w14:textId="77777777" w:rsidR="00B17C29" w:rsidRPr="00321A0B" w:rsidRDefault="00B17C29" w:rsidP="00B17C29">
            <w:pPr>
              <w:pStyle w:val="Bezmezer"/>
              <w:spacing w:line="276" w:lineRule="auto"/>
              <w:jc w:val="center"/>
              <w:rPr>
                <w:rFonts w:ascii="Arial" w:hAnsi="Arial"/>
                <w:b/>
                <w:bCs/>
                <w:color w:val="FFFFFF"/>
                <w:szCs w:val="20"/>
              </w:rPr>
            </w:pPr>
            <w:r w:rsidRPr="00321A0B">
              <w:rPr>
                <w:rFonts w:ascii="Arial" w:hAnsi="Arial"/>
                <w:b/>
                <w:bCs/>
                <w:color w:val="FFFFFF"/>
                <w:szCs w:val="20"/>
              </w:rPr>
              <w:t>2020</w:t>
            </w:r>
          </w:p>
        </w:tc>
        <w:tc>
          <w:tcPr>
            <w:tcW w:w="2266" w:type="dxa"/>
            <w:shd w:val="clear" w:color="auto" w:fill="DFA7A6"/>
          </w:tcPr>
          <w:p w14:paraId="7B94F9B9" w14:textId="77777777" w:rsidR="00B17C29" w:rsidRPr="00321A0B" w:rsidRDefault="00B17C29" w:rsidP="00B17C29">
            <w:pPr>
              <w:spacing w:before="0" w:line="276" w:lineRule="auto"/>
              <w:jc w:val="right"/>
            </w:pPr>
            <w:r w:rsidRPr="00321A0B">
              <w:t>47 255</w:t>
            </w:r>
          </w:p>
        </w:tc>
        <w:tc>
          <w:tcPr>
            <w:tcW w:w="2265" w:type="dxa"/>
            <w:shd w:val="clear" w:color="auto" w:fill="DFA7A6"/>
            <w:vAlign w:val="bottom"/>
          </w:tcPr>
          <w:p w14:paraId="1D3D3801" w14:textId="77777777" w:rsidR="00B17C29" w:rsidRPr="00321A0B" w:rsidRDefault="00B17C29" w:rsidP="00B17C29">
            <w:pPr>
              <w:spacing w:before="0" w:line="276" w:lineRule="auto"/>
              <w:jc w:val="right"/>
            </w:pPr>
            <w:r w:rsidRPr="00321A0B">
              <w:t>1 552 124</w:t>
            </w:r>
          </w:p>
        </w:tc>
        <w:tc>
          <w:tcPr>
            <w:tcW w:w="2266" w:type="dxa"/>
            <w:shd w:val="clear" w:color="auto" w:fill="DFA7A6"/>
            <w:vAlign w:val="bottom"/>
          </w:tcPr>
          <w:p w14:paraId="509A3356" w14:textId="77777777" w:rsidR="00B17C29" w:rsidRPr="00321A0B" w:rsidRDefault="00B17C29" w:rsidP="00B17C29">
            <w:pPr>
              <w:spacing w:before="0" w:line="276" w:lineRule="auto"/>
              <w:jc w:val="right"/>
            </w:pPr>
            <w:r w:rsidRPr="00321A0B">
              <w:t>32,8</w:t>
            </w:r>
          </w:p>
        </w:tc>
      </w:tr>
      <w:tr w:rsidR="00B17C29" w:rsidRPr="00321A0B" w14:paraId="29B29955" w14:textId="77777777" w:rsidTr="007A71B8">
        <w:tc>
          <w:tcPr>
            <w:tcW w:w="2265" w:type="dxa"/>
            <w:shd w:val="clear" w:color="auto" w:fill="C0504D"/>
            <w:vAlign w:val="center"/>
          </w:tcPr>
          <w:p w14:paraId="759AAF7E" w14:textId="77777777" w:rsidR="00B17C29" w:rsidRPr="00321A0B" w:rsidRDefault="00B17C29" w:rsidP="00B17C29">
            <w:pPr>
              <w:pStyle w:val="Bezmezer"/>
              <w:spacing w:line="276" w:lineRule="auto"/>
              <w:jc w:val="center"/>
              <w:rPr>
                <w:rFonts w:ascii="Arial" w:hAnsi="Arial"/>
                <w:b/>
                <w:bCs/>
                <w:color w:val="FFFFFF"/>
                <w:szCs w:val="20"/>
              </w:rPr>
            </w:pPr>
            <w:r w:rsidRPr="00321A0B">
              <w:rPr>
                <w:rFonts w:ascii="Arial" w:hAnsi="Arial"/>
                <w:b/>
                <w:bCs/>
                <w:color w:val="FFFFFF"/>
                <w:szCs w:val="20"/>
              </w:rPr>
              <w:t>2021</w:t>
            </w:r>
          </w:p>
        </w:tc>
        <w:tc>
          <w:tcPr>
            <w:tcW w:w="2266" w:type="dxa"/>
            <w:shd w:val="clear" w:color="auto" w:fill="EFD3D2"/>
          </w:tcPr>
          <w:p w14:paraId="4A4B70DB" w14:textId="77777777" w:rsidR="00B17C29" w:rsidRPr="00321A0B" w:rsidRDefault="00B17C29" w:rsidP="00B17C29">
            <w:pPr>
              <w:spacing w:before="0" w:line="276" w:lineRule="auto"/>
              <w:jc w:val="right"/>
            </w:pPr>
            <w:r w:rsidRPr="00321A0B">
              <w:t>47 379</w:t>
            </w:r>
          </w:p>
        </w:tc>
        <w:tc>
          <w:tcPr>
            <w:tcW w:w="2265" w:type="dxa"/>
            <w:shd w:val="clear" w:color="auto" w:fill="EFD3D2"/>
            <w:vAlign w:val="bottom"/>
          </w:tcPr>
          <w:p w14:paraId="4B35539B" w14:textId="77777777" w:rsidR="00B17C29" w:rsidRPr="00321A0B" w:rsidRDefault="00B17C29" w:rsidP="00B17C29">
            <w:pPr>
              <w:spacing w:before="0" w:line="276" w:lineRule="auto"/>
              <w:jc w:val="right"/>
            </w:pPr>
            <w:r w:rsidRPr="00321A0B">
              <w:t>1 485 642</w:t>
            </w:r>
          </w:p>
        </w:tc>
        <w:tc>
          <w:tcPr>
            <w:tcW w:w="2266" w:type="dxa"/>
            <w:shd w:val="clear" w:color="auto" w:fill="EFD3D2"/>
          </w:tcPr>
          <w:p w14:paraId="57D5372D" w14:textId="77777777" w:rsidR="00B17C29" w:rsidRPr="00321A0B" w:rsidRDefault="00B17C29" w:rsidP="00B17C29">
            <w:pPr>
              <w:spacing w:before="0" w:line="276" w:lineRule="auto"/>
              <w:jc w:val="right"/>
              <w:rPr>
                <w:bCs/>
                <w:color w:val="000000"/>
              </w:rPr>
            </w:pPr>
            <w:r w:rsidRPr="00321A0B">
              <w:rPr>
                <w:bCs/>
                <w:color w:val="000000"/>
              </w:rPr>
              <w:t>31,4</w:t>
            </w:r>
          </w:p>
        </w:tc>
      </w:tr>
      <w:tr w:rsidR="00B17C29" w:rsidRPr="00321A0B" w14:paraId="072CA684" w14:textId="77777777" w:rsidTr="007A71B8">
        <w:tc>
          <w:tcPr>
            <w:tcW w:w="2265" w:type="dxa"/>
            <w:shd w:val="clear" w:color="auto" w:fill="C0504D"/>
            <w:vAlign w:val="center"/>
          </w:tcPr>
          <w:p w14:paraId="43B11F81" w14:textId="77777777" w:rsidR="00B17C29" w:rsidRPr="00321A0B" w:rsidRDefault="00B17C29" w:rsidP="00B17C29">
            <w:pPr>
              <w:pStyle w:val="Bezmezer"/>
              <w:spacing w:line="276" w:lineRule="auto"/>
              <w:jc w:val="center"/>
              <w:rPr>
                <w:rFonts w:ascii="Arial" w:hAnsi="Arial"/>
                <w:b/>
                <w:bCs/>
                <w:color w:val="FFFFFF"/>
                <w:szCs w:val="20"/>
              </w:rPr>
            </w:pPr>
            <w:r w:rsidRPr="00321A0B">
              <w:rPr>
                <w:rFonts w:ascii="Arial" w:hAnsi="Arial"/>
                <w:b/>
                <w:bCs/>
                <w:color w:val="FFFFFF"/>
                <w:szCs w:val="20"/>
              </w:rPr>
              <w:t>2022</w:t>
            </w:r>
          </w:p>
        </w:tc>
        <w:tc>
          <w:tcPr>
            <w:tcW w:w="2266" w:type="dxa"/>
            <w:shd w:val="clear" w:color="auto" w:fill="EFD3D2"/>
          </w:tcPr>
          <w:p w14:paraId="7D127898" w14:textId="77777777" w:rsidR="00B17C29" w:rsidRPr="00321A0B" w:rsidRDefault="00B17C29" w:rsidP="00B17C29">
            <w:pPr>
              <w:spacing w:before="0" w:line="276" w:lineRule="auto"/>
              <w:jc w:val="right"/>
            </w:pPr>
            <w:r w:rsidRPr="00321A0B">
              <w:t>50 595</w:t>
            </w:r>
          </w:p>
        </w:tc>
        <w:tc>
          <w:tcPr>
            <w:tcW w:w="2265" w:type="dxa"/>
            <w:shd w:val="clear" w:color="auto" w:fill="EFD3D2"/>
            <w:vAlign w:val="bottom"/>
          </w:tcPr>
          <w:p w14:paraId="48A94C2A" w14:textId="77777777" w:rsidR="00B17C29" w:rsidRPr="00321A0B" w:rsidRDefault="00B17C29" w:rsidP="00B17C29">
            <w:pPr>
              <w:spacing w:before="0" w:line="276" w:lineRule="auto"/>
              <w:jc w:val="right"/>
            </w:pPr>
            <w:r w:rsidRPr="00321A0B">
              <w:t>1 741 231</w:t>
            </w:r>
          </w:p>
        </w:tc>
        <w:tc>
          <w:tcPr>
            <w:tcW w:w="2266" w:type="dxa"/>
            <w:shd w:val="clear" w:color="auto" w:fill="EFD3D2"/>
          </w:tcPr>
          <w:p w14:paraId="21DBC54C" w14:textId="77777777" w:rsidR="00B17C29" w:rsidRPr="00321A0B" w:rsidRDefault="00B17C29" w:rsidP="00B17C29">
            <w:pPr>
              <w:spacing w:before="0" w:line="276" w:lineRule="auto"/>
              <w:jc w:val="right"/>
              <w:rPr>
                <w:bCs/>
                <w:color w:val="000000"/>
              </w:rPr>
            </w:pPr>
            <w:r w:rsidRPr="00321A0B">
              <w:rPr>
                <w:bCs/>
                <w:color w:val="000000"/>
              </w:rPr>
              <w:t>34,4</w:t>
            </w:r>
          </w:p>
        </w:tc>
      </w:tr>
    </w:tbl>
    <w:p w14:paraId="56FCC861" w14:textId="77777777" w:rsidR="00B17C29" w:rsidRDefault="00B17C29" w:rsidP="00B17C29">
      <w:pPr>
        <w:spacing w:before="0" w:line="276" w:lineRule="auto"/>
      </w:pPr>
    </w:p>
    <w:p w14:paraId="3AA01472" w14:textId="77777777" w:rsidR="00B17C29" w:rsidRPr="00321A0B" w:rsidRDefault="00B17C29" w:rsidP="00B17C29">
      <w:pPr>
        <w:spacing w:before="0" w:line="276" w:lineRule="auto"/>
        <w:jc w:val="both"/>
        <w:rPr>
          <w:b/>
          <w:szCs w:val="20"/>
        </w:rPr>
      </w:pPr>
      <w:r w:rsidRPr="00321A0B">
        <w:rPr>
          <w:b/>
          <w:szCs w:val="20"/>
        </w:rPr>
        <w:t xml:space="preserve">Časný záchyt demence </w:t>
      </w:r>
    </w:p>
    <w:p w14:paraId="2A3D1FC6" w14:textId="77777777" w:rsidR="00B17C29" w:rsidRPr="00321A0B" w:rsidRDefault="00B17C29" w:rsidP="00B17C29">
      <w:pPr>
        <w:spacing w:before="0" w:line="276" w:lineRule="auto"/>
        <w:jc w:val="both"/>
        <w:rPr>
          <w:szCs w:val="20"/>
        </w:rPr>
      </w:pPr>
      <w:r w:rsidRPr="00321A0B">
        <w:rPr>
          <w:szCs w:val="20"/>
        </w:rPr>
        <w:t xml:space="preserve">Alzheimerova choroba je </w:t>
      </w:r>
      <w:proofErr w:type="spellStart"/>
      <w:r w:rsidRPr="00321A0B">
        <w:rPr>
          <w:szCs w:val="20"/>
        </w:rPr>
        <w:t>neurodegenerativní</w:t>
      </w:r>
      <w:proofErr w:type="spellEnd"/>
      <w:r w:rsidRPr="00321A0B">
        <w:rPr>
          <w:szCs w:val="20"/>
        </w:rPr>
        <w:t xml:space="preserve"> nemoc, která se projevuje narušením části mozku a způsobuje pokles tzv. kognitivních funkcí – myšlení, paměti, úsudku. Nevyhýbá se čtyřicátníkům, postihuje ale především pacienty v seniorském věku. Ti nad svým občasným zapomínáním mohou leckdy mávnou rukou a připisovat tyto komplikace věku. Všeobecný praktický lékař proto provádí u lidí ve věku od 65 let do 80 let v rámci preventivní prohlídky ve dvouletém intervalu tzv. Mini-</w:t>
      </w:r>
      <w:proofErr w:type="spellStart"/>
      <w:r w:rsidRPr="00321A0B">
        <w:rPr>
          <w:szCs w:val="20"/>
        </w:rPr>
        <w:t>Cog</w:t>
      </w:r>
      <w:proofErr w:type="spellEnd"/>
      <w:r w:rsidRPr="00321A0B">
        <w:rPr>
          <w:szCs w:val="20"/>
        </w:rPr>
        <w:t xml:space="preserve"> test. Jedná se tedy v podstatě o výkon screeningový, kdy je testována široká riziková populace ve vybrané cílové skupině, aniž by dané osoby měly příznaky „hledané“ choroby. V období prvního pololetí 2023 bylo vykázáno pojišťovně 50 400 těchto testů. Za celý rok 2022 bylo praktickými lékaři pro dospělé vykázáno testů 74 200.</w:t>
      </w:r>
    </w:p>
    <w:p w14:paraId="05F8B7EA" w14:textId="77777777" w:rsidR="00B17C29" w:rsidRPr="00321A0B" w:rsidRDefault="00B17C29" w:rsidP="00B17C29">
      <w:pPr>
        <w:spacing w:before="0" w:line="276" w:lineRule="auto"/>
        <w:jc w:val="both"/>
        <w:rPr>
          <w:szCs w:val="20"/>
        </w:rPr>
      </w:pPr>
    </w:p>
    <w:p w14:paraId="31B43C56" w14:textId="77777777" w:rsidR="00B17C29" w:rsidRPr="00321A0B" w:rsidRDefault="00B17C29" w:rsidP="00B17C29">
      <w:pPr>
        <w:spacing w:before="0" w:line="276" w:lineRule="auto"/>
        <w:jc w:val="both"/>
        <w:rPr>
          <w:szCs w:val="20"/>
        </w:rPr>
      </w:pPr>
      <w:r w:rsidRPr="00321A0B">
        <w:rPr>
          <w:szCs w:val="20"/>
        </w:rPr>
        <w:t>V případě nezvládnutí Mini-</w:t>
      </w:r>
      <w:proofErr w:type="spellStart"/>
      <w:r w:rsidRPr="00321A0B">
        <w:rPr>
          <w:szCs w:val="20"/>
        </w:rPr>
        <w:t>Cog</w:t>
      </w:r>
      <w:proofErr w:type="spellEnd"/>
      <w:r w:rsidRPr="00321A0B">
        <w:rPr>
          <w:szCs w:val="20"/>
        </w:rPr>
        <w:t xml:space="preserve"> testu provádí praktický lékař podrobnější test mentálních funkcí MMSE a pokud ani ten nedopadne dobře, posílá </w:t>
      </w:r>
      <w:r w:rsidRPr="00321A0B">
        <w:rPr>
          <w:szCs w:val="20"/>
        </w:rPr>
        <w:lastRenderedPageBreak/>
        <w:t xml:space="preserve">seniora ke specialistům (neurolog, geriatr, psychiatr apod.), kteří diagnózu upřesní. Praktický lékař pak následně zajišťuje návaznou péči o pacienta s demencí. I tato vyšetření jsou hrazena z veřejného zdravotního pojištění. </w:t>
      </w:r>
    </w:p>
    <w:p w14:paraId="6A7B8F26" w14:textId="77777777" w:rsidR="00B17C29" w:rsidRDefault="00B17C29" w:rsidP="00B17C29">
      <w:pPr>
        <w:spacing w:before="0" w:line="276" w:lineRule="auto"/>
        <w:jc w:val="both"/>
        <w:rPr>
          <w:rFonts w:cstheme="minorHAnsi"/>
          <w:b/>
          <w:bCs/>
          <w:color w:val="FFFFFF"/>
          <w:szCs w:val="20"/>
        </w:rPr>
      </w:pPr>
    </w:p>
    <w:p w14:paraId="70C0EB3D" w14:textId="1055B48A" w:rsidR="00B17C29" w:rsidRDefault="00B17C29" w:rsidP="00B17C2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before="0" w:line="276" w:lineRule="auto"/>
      </w:pPr>
      <w:r w:rsidRPr="00321A0B">
        <w:t xml:space="preserve">Alzheimerova choroba se vyléčit nedá, její průběh ale je možné ovlivnit způsobem života, který člověk vedl před propuknutím nemoci. U lidí, kteří měli zdraví a aktivní životní styl, je průběh nemoci pomalejší. Mozku také prospívá učení se novým věcem, hraní her náročných na pozornost, četba či luštění křížovek. VZP nabízí svým klientům starším 65 let </w:t>
      </w:r>
      <w:hyperlink r:id="rId11" w:history="1">
        <w:r w:rsidRPr="00321A0B">
          <w:rPr>
            <w:rStyle w:val="Hypertextovodkaz"/>
          </w:rPr>
          <w:t>příspěvek 500 korun</w:t>
        </w:r>
      </w:hyperlink>
      <w:r w:rsidRPr="00321A0B">
        <w:t xml:space="preserve"> na různé pomůcky právě pro trénink paměti a dalších kognitivních funkcí.  A v neposlední řadě fyzická aktivita zvyšuje kondici, a to i </w:t>
      </w:r>
      <w:r>
        <w:t>mentální</w:t>
      </w:r>
    </w:p>
    <w:p w14:paraId="05755889" w14:textId="77777777" w:rsidR="00B17C29" w:rsidRDefault="00B17C29" w:rsidP="00B17C29">
      <w:pPr>
        <w:spacing w:before="0" w:line="276" w:lineRule="auto"/>
        <w:rPr>
          <w:b/>
          <w:bCs/>
          <w:szCs w:val="20"/>
        </w:rPr>
      </w:pPr>
    </w:p>
    <w:p w14:paraId="465AF1C0" w14:textId="340D835D" w:rsidR="00995BAE" w:rsidRPr="00117FF2" w:rsidRDefault="00526A50" w:rsidP="00B17C29">
      <w:pPr>
        <w:spacing w:before="0" w:line="276" w:lineRule="auto"/>
        <w:rPr>
          <w:b/>
          <w:bCs/>
          <w:szCs w:val="20"/>
        </w:rPr>
      </w:pPr>
      <w:r>
        <w:rPr>
          <w:b/>
          <w:bCs/>
          <w:szCs w:val="20"/>
        </w:rPr>
        <w:t>Viktorie Plívová</w:t>
      </w:r>
    </w:p>
    <w:p w14:paraId="29F91A9C" w14:textId="6787658C" w:rsidR="00995BAE" w:rsidRPr="00117FF2" w:rsidRDefault="00526A50" w:rsidP="00B17C29">
      <w:pPr>
        <w:spacing w:before="0" w:line="276" w:lineRule="auto"/>
        <w:rPr>
          <w:szCs w:val="20"/>
        </w:rPr>
      </w:pPr>
      <w:r>
        <w:rPr>
          <w:szCs w:val="20"/>
        </w:rPr>
        <w:t>Tisková mluvčí</w:t>
      </w:r>
    </w:p>
    <w:sectPr w:rsidR="00995BAE" w:rsidRPr="00117FF2" w:rsidSect="00F920F3">
      <w:footerReference w:type="default" r:id="rId12"/>
      <w:pgSz w:w="11906" w:h="16838"/>
      <w:pgMar w:top="1417" w:right="1417" w:bottom="1843" w:left="1417" w:header="708" w:footer="4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7F4B9F" w14:textId="77777777" w:rsidR="00BE071B" w:rsidRDefault="00BE071B" w:rsidP="00844E5F">
      <w:pPr>
        <w:spacing w:before="0" w:line="240" w:lineRule="auto"/>
      </w:pPr>
      <w:r>
        <w:separator/>
      </w:r>
    </w:p>
  </w:endnote>
  <w:endnote w:type="continuationSeparator" w:id="0">
    <w:p w14:paraId="1B38C1E1" w14:textId="77777777" w:rsidR="00BE071B" w:rsidRDefault="00BE071B" w:rsidP="00844E5F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ter">
    <w:altName w:val="Calibri"/>
    <w:panose1 w:val="02000503000000020004"/>
    <w:charset w:val="EE"/>
    <w:family w:val="auto"/>
    <w:pitch w:val="variable"/>
    <w:sig w:usb0="E00002FF" w:usb1="1200A1FF" w:usb2="00000001" w:usb3="00000000" w:csb0="0000019F" w:csb1="00000000"/>
  </w:font>
  <w:font w:name="Times New Roman (Základní tex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pPr w:leftFromText="141" w:rightFromText="141" w:vertAnchor="text" w:horzAnchor="margin" w:tblpY="191"/>
      <w:tblW w:w="425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52"/>
      <w:gridCol w:w="1701"/>
    </w:tblGrid>
    <w:tr w:rsidR="00F62A52" w14:paraId="156E0E6A" w14:textId="77777777" w:rsidTr="00F019E9">
      <w:trPr>
        <w:trHeight w:val="741"/>
      </w:trPr>
      <w:tc>
        <w:tcPr>
          <w:tcW w:w="2552" w:type="dxa"/>
          <w:tcBorders>
            <w:left w:val="single" w:sz="12" w:space="0" w:color="auto"/>
          </w:tcBorders>
          <w:vAlign w:val="center"/>
        </w:tcPr>
        <w:p w14:paraId="1B976203" w14:textId="5D4A49AC" w:rsidR="00F62A52" w:rsidRPr="00A770CA" w:rsidRDefault="00F62A52" w:rsidP="00DF7A80">
          <w:pPr>
            <w:pStyle w:val="Normlnmini"/>
            <w:ind w:left="300"/>
            <w:rPr>
              <w:sz w:val="18"/>
              <w:szCs w:val="18"/>
            </w:rPr>
          </w:pPr>
          <w:r w:rsidRPr="00A770CA">
            <w:rPr>
              <w:sz w:val="18"/>
              <w:szCs w:val="18"/>
            </w:rPr>
            <w:t>Infolinka: 952 222 222</w:t>
          </w:r>
        </w:p>
        <w:p w14:paraId="1997D3FA" w14:textId="77777777" w:rsidR="00F62A52" w:rsidRPr="00322A4A" w:rsidRDefault="00F62A52" w:rsidP="00DF7A80">
          <w:pPr>
            <w:pStyle w:val="Normlnmini"/>
            <w:ind w:left="300"/>
            <w:rPr>
              <w:b/>
              <w:bCs/>
            </w:rPr>
          </w:pPr>
          <w:r w:rsidRPr="00A770CA">
            <w:rPr>
              <w:b/>
              <w:bCs/>
              <w:sz w:val="18"/>
              <w:szCs w:val="18"/>
            </w:rPr>
            <w:t>www.vzp.cz</w:t>
          </w:r>
        </w:p>
      </w:tc>
      <w:tc>
        <w:tcPr>
          <w:tcW w:w="1701" w:type="dxa"/>
          <w:tcBorders>
            <w:left w:val="single" w:sz="4" w:space="0" w:color="auto"/>
          </w:tcBorders>
          <w:vAlign w:val="center"/>
        </w:tcPr>
        <w:p w14:paraId="73476802" w14:textId="77777777" w:rsidR="00F62A52" w:rsidRDefault="00F62A52" w:rsidP="00DF7A80">
          <w:pPr>
            <w:pStyle w:val="Normlnmini"/>
          </w:pPr>
        </w:p>
      </w:tc>
    </w:tr>
  </w:tbl>
  <w:p w14:paraId="398F7078" w14:textId="7CA6A5C3" w:rsidR="00DF7A80" w:rsidRDefault="003F6E42">
    <w:pPr>
      <w:pStyle w:val="Zpat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032313D" wp14:editId="63FF9A63">
              <wp:simplePos x="0" y="0"/>
              <wp:positionH relativeFrom="column">
                <wp:posOffset>2557780</wp:posOffset>
              </wp:positionH>
              <wp:positionV relativeFrom="paragraph">
                <wp:posOffset>-65405</wp:posOffset>
              </wp:positionV>
              <wp:extent cx="3397250" cy="828675"/>
              <wp:effectExtent l="0" t="0" r="0" b="9525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97250" cy="828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2705B1" w14:textId="77777777" w:rsidR="00111EF0" w:rsidRDefault="00111EF0" w:rsidP="00111EF0">
                          <w:pPr>
                            <w:spacing w:before="0"/>
                            <w:rPr>
                              <w:b/>
                              <w:color w:val="262626" w:themeColor="text1" w:themeTint="D9"/>
                              <w:sz w:val="16"/>
                              <w:szCs w:val="16"/>
                            </w:rPr>
                          </w:pPr>
                        </w:p>
                        <w:p w14:paraId="3B9032FF" w14:textId="29F69E63" w:rsidR="003F6E42" w:rsidRPr="00A770CA" w:rsidRDefault="003F6E42" w:rsidP="00111EF0">
                          <w:pPr>
                            <w:spacing w:before="0"/>
                            <w:rPr>
                              <w:b/>
                              <w:color w:val="262626" w:themeColor="text1" w:themeTint="D9"/>
                              <w:sz w:val="18"/>
                              <w:szCs w:val="18"/>
                            </w:rPr>
                          </w:pPr>
                          <w:r w:rsidRPr="00A770CA">
                            <w:rPr>
                              <w:b/>
                              <w:color w:val="262626" w:themeColor="text1" w:themeTint="D9"/>
                              <w:sz w:val="18"/>
                              <w:szCs w:val="18"/>
                            </w:rPr>
                            <w:t>Všeobecná zdravotní pojišťovna České republiky</w:t>
                          </w:r>
                        </w:p>
                        <w:p w14:paraId="260138FB" w14:textId="5376314A" w:rsidR="003F6E42" w:rsidRPr="00A770CA" w:rsidRDefault="003F6E42" w:rsidP="00111EF0">
                          <w:pPr>
                            <w:spacing w:before="0"/>
                            <w:rPr>
                              <w:color w:val="262626" w:themeColor="text1" w:themeTint="D9"/>
                              <w:sz w:val="18"/>
                              <w:szCs w:val="18"/>
                            </w:rPr>
                          </w:pPr>
                          <w:r w:rsidRPr="00A770CA">
                            <w:rPr>
                              <w:color w:val="262626" w:themeColor="text1" w:themeTint="D9"/>
                              <w:sz w:val="18"/>
                              <w:szCs w:val="18"/>
                            </w:rPr>
                            <w:t>Orlická 2020/4, 130 00 Praha 3</w:t>
                          </w:r>
                          <w:r w:rsidRPr="00A770CA">
                            <w:rPr>
                              <w:color w:val="262626" w:themeColor="text1" w:themeTint="D9"/>
                              <w:sz w:val="18"/>
                              <w:szCs w:val="18"/>
                            </w:rPr>
                            <w:br/>
                            <w:t xml:space="preserve">tel.: </w:t>
                          </w:r>
                          <w:r w:rsidRPr="00A770CA">
                            <w:rPr>
                              <w:b/>
                              <w:color w:val="262626" w:themeColor="text1" w:themeTint="D9"/>
                              <w:sz w:val="18"/>
                              <w:szCs w:val="18"/>
                            </w:rPr>
                            <w:t>952 220 267</w:t>
                          </w:r>
                          <w:r w:rsidRPr="00A770CA">
                            <w:rPr>
                              <w:color w:val="262626" w:themeColor="text1" w:themeTint="D9"/>
                              <w:sz w:val="18"/>
                              <w:szCs w:val="18"/>
                            </w:rPr>
                            <w:t xml:space="preserve">, e-mail: </w:t>
                          </w:r>
                          <w:r w:rsidRPr="00A770CA">
                            <w:rPr>
                              <w:b/>
                              <w:color w:val="262626" w:themeColor="text1" w:themeTint="D9"/>
                              <w:sz w:val="18"/>
                              <w:szCs w:val="18"/>
                            </w:rPr>
                            <w:t>tiskove@vzp.cz</w:t>
                          </w:r>
                          <w:r w:rsidRPr="00A770CA">
                            <w:rPr>
                              <w:color w:val="262626" w:themeColor="text1" w:themeTint="D9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784DCADE" w14:textId="5B6CAD38" w:rsidR="00995BAE" w:rsidRPr="00A770CA" w:rsidRDefault="00995BAE" w:rsidP="003F6E42">
                          <w:pPr>
                            <w:rPr>
                              <w:color w:val="262626" w:themeColor="text1" w:themeTint="D9"/>
                              <w:sz w:val="18"/>
                              <w:szCs w:val="18"/>
                            </w:rPr>
                          </w:pPr>
                        </w:p>
                        <w:p w14:paraId="733E1FDF" w14:textId="77777777" w:rsidR="00995BAE" w:rsidRPr="003F6E42" w:rsidRDefault="00995BAE" w:rsidP="003F6E42">
                          <w:pPr>
                            <w:rPr>
                              <w:color w:val="262626" w:themeColor="text1" w:themeTint="D9"/>
                              <w:sz w:val="16"/>
                              <w:szCs w:val="16"/>
                            </w:rPr>
                          </w:pPr>
                        </w:p>
                        <w:p w14:paraId="3503A6B1" w14:textId="49737DA3" w:rsidR="003F6E42" w:rsidRPr="003F6E42" w:rsidRDefault="003F6E42" w:rsidP="003F6E42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32313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201.4pt;margin-top:-5.15pt;width:267.5pt;height:65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" stroked="f">
              <v:textbox>
                <w:txbxContent>
                  <w:p w14:paraId="752705B1" w14:textId="77777777" w:rsidR="00111EF0" w:rsidRDefault="00111EF0" w:rsidP="00111EF0">
                    <w:pPr>
                      <w:spacing w:before="0"/>
                      <w:rPr>
                        <w:b/>
                        <w:color w:val="262626" w:themeColor="text1" w:themeTint="D9"/>
                        <w:sz w:val="16"/>
                        <w:szCs w:val="16"/>
                      </w:rPr>
                    </w:pPr>
                  </w:p>
                  <w:p w14:paraId="3B9032FF" w14:textId="29F69E63" w:rsidR="003F6E42" w:rsidRPr="00A770CA" w:rsidRDefault="003F6E42" w:rsidP="00111EF0">
                    <w:pPr>
                      <w:spacing w:before="0"/>
                      <w:rPr>
                        <w:b/>
                        <w:color w:val="262626" w:themeColor="text1" w:themeTint="D9"/>
                        <w:sz w:val="18"/>
                        <w:szCs w:val="18"/>
                      </w:rPr>
                    </w:pPr>
                    <w:r w:rsidRPr="00A770CA">
                      <w:rPr>
                        <w:b/>
                        <w:color w:val="262626" w:themeColor="text1" w:themeTint="D9"/>
                        <w:sz w:val="18"/>
                        <w:szCs w:val="18"/>
                      </w:rPr>
                      <w:t>Všeobecná zdravotní pojišťovna České republiky</w:t>
                    </w:r>
                  </w:p>
                  <w:p w14:paraId="260138FB" w14:textId="5376314A" w:rsidR="003F6E42" w:rsidRPr="00A770CA" w:rsidRDefault="003F6E42" w:rsidP="00111EF0">
                    <w:pPr>
                      <w:spacing w:before="0"/>
                      <w:rPr>
                        <w:color w:val="262626" w:themeColor="text1" w:themeTint="D9"/>
                        <w:sz w:val="18"/>
                        <w:szCs w:val="18"/>
                      </w:rPr>
                    </w:pPr>
                    <w:r w:rsidRPr="00A770CA">
                      <w:rPr>
                        <w:color w:val="262626" w:themeColor="text1" w:themeTint="D9"/>
                        <w:sz w:val="18"/>
                        <w:szCs w:val="18"/>
                      </w:rPr>
                      <w:t>Orlická 2020/4, 130 00 Praha 3</w:t>
                    </w:r>
                    <w:r w:rsidRPr="00A770CA">
                      <w:rPr>
                        <w:color w:val="262626" w:themeColor="text1" w:themeTint="D9"/>
                        <w:sz w:val="18"/>
                        <w:szCs w:val="18"/>
                      </w:rPr>
                      <w:br/>
                      <w:t xml:space="preserve">tel.: </w:t>
                    </w:r>
                    <w:r w:rsidRPr="00A770CA">
                      <w:rPr>
                        <w:b/>
                        <w:color w:val="262626" w:themeColor="text1" w:themeTint="D9"/>
                        <w:sz w:val="18"/>
                        <w:szCs w:val="18"/>
                      </w:rPr>
                      <w:t>952 220 267</w:t>
                    </w:r>
                    <w:r w:rsidRPr="00A770CA">
                      <w:rPr>
                        <w:color w:val="262626" w:themeColor="text1" w:themeTint="D9"/>
                        <w:sz w:val="18"/>
                        <w:szCs w:val="18"/>
                      </w:rPr>
                      <w:t xml:space="preserve">, e-mail: </w:t>
                    </w:r>
                    <w:r w:rsidRPr="00A770CA">
                      <w:rPr>
                        <w:b/>
                        <w:color w:val="262626" w:themeColor="text1" w:themeTint="D9"/>
                        <w:sz w:val="18"/>
                        <w:szCs w:val="18"/>
                      </w:rPr>
                      <w:t>tiskove@vzp.cz</w:t>
                    </w:r>
                    <w:r w:rsidRPr="00A770CA">
                      <w:rPr>
                        <w:color w:val="262626" w:themeColor="text1" w:themeTint="D9"/>
                        <w:sz w:val="18"/>
                        <w:szCs w:val="18"/>
                      </w:rPr>
                      <w:t xml:space="preserve"> </w:t>
                    </w:r>
                  </w:p>
                  <w:p w14:paraId="784DCADE" w14:textId="5B6CAD38" w:rsidR="00995BAE" w:rsidRPr="00A770CA" w:rsidRDefault="00995BAE" w:rsidP="003F6E42">
                    <w:pPr>
                      <w:rPr>
                        <w:color w:val="262626" w:themeColor="text1" w:themeTint="D9"/>
                        <w:sz w:val="18"/>
                        <w:szCs w:val="18"/>
                      </w:rPr>
                    </w:pPr>
                  </w:p>
                  <w:p w14:paraId="733E1FDF" w14:textId="77777777" w:rsidR="00995BAE" w:rsidRPr="003F6E42" w:rsidRDefault="00995BAE" w:rsidP="003F6E42">
                    <w:pPr>
                      <w:rPr>
                        <w:color w:val="262626" w:themeColor="text1" w:themeTint="D9"/>
                        <w:sz w:val="16"/>
                        <w:szCs w:val="16"/>
                      </w:rPr>
                    </w:pPr>
                  </w:p>
                  <w:p w14:paraId="3503A6B1" w14:textId="49737DA3" w:rsidR="003F6E42" w:rsidRPr="003F6E42" w:rsidRDefault="003F6E42" w:rsidP="003F6E42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5F6004" w14:textId="77777777" w:rsidR="00BE071B" w:rsidRDefault="00BE071B" w:rsidP="00844E5F">
      <w:pPr>
        <w:spacing w:before="0" w:line="240" w:lineRule="auto"/>
      </w:pPr>
      <w:r>
        <w:separator/>
      </w:r>
    </w:p>
  </w:footnote>
  <w:footnote w:type="continuationSeparator" w:id="0">
    <w:p w14:paraId="3AE2D27C" w14:textId="77777777" w:rsidR="00BE071B" w:rsidRDefault="00BE071B" w:rsidP="00844E5F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4C1801"/>
    <w:multiLevelType w:val="hybridMultilevel"/>
    <w:tmpl w:val="1D4689E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BEE571F"/>
    <w:multiLevelType w:val="multilevel"/>
    <w:tmpl w:val="FE1C0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B00216"/>
    <w:multiLevelType w:val="multilevel"/>
    <w:tmpl w:val="7F9E3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024564"/>
    <w:multiLevelType w:val="multilevel"/>
    <w:tmpl w:val="B9D6E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03F"/>
    <w:rsid w:val="00021E10"/>
    <w:rsid w:val="000249DD"/>
    <w:rsid w:val="00047E2A"/>
    <w:rsid w:val="00082A67"/>
    <w:rsid w:val="000B0DA0"/>
    <w:rsid w:val="000B1A6B"/>
    <w:rsid w:val="000F0D97"/>
    <w:rsid w:val="000F600B"/>
    <w:rsid w:val="0010012F"/>
    <w:rsid w:val="00111EF0"/>
    <w:rsid w:val="00117FF2"/>
    <w:rsid w:val="0014539C"/>
    <w:rsid w:val="0016318C"/>
    <w:rsid w:val="0017097A"/>
    <w:rsid w:val="00173A2F"/>
    <w:rsid w:val="001746D3"/>
    <w:rsid w:val="001864B0"/>
    <w:rsid w:val="00190EE7"/>
    <w:rsid w:val="001A0F6D"/>
    <w:rsid w:val="001A6517"/>
    <w:rsid w:val="001C5526"/>
    <w:rsid w:val="001F5D10"/>
    <w:rsid w:val="002255E5"/>
    <w:rsid w:val="00250A59"/>
    <w:rsid w:val="002539D7"/>
    <w:rsid w:val="00274A20"/>
    <w:rsid w:val="002C0105"/>
    <w:rsid w:val="002D542C"/>
    <w:rsid w:val="002E32D0"/>
    <w:rsid w:val="00315790"/>
    <w:rsid w:val="00322A4A"/>
    <w:rsid w:val="00372F77"/>
    <w:rsid w:val="00373449"/>
    <w:rsid w:val="00383732"/>
    <w:rsid w:val="00391204"/>
    <w:rsid w:val="003B3E13"/>
    <w:rsid w:val="003B637A"/>
    <w:rsid w:val="003C37EE"/>
    <w:rsid w:val="003D5F56"/>
    <w:rsid w:val="003F2E5F"/>
    <w:rsid w:val="003F6E42"/>
    <w:rsid w:val="004359B2"/>
    <w:rsid w:val="00454E77"/>
    <w:rsid w:val="004675A2"/>
    <w:rsid w:val="00471D79"/>
    <w:rsid w:val="00473156"/>
    <w:rsid w:val="004A77F8"/>
    <w:rsid w:val="00526A50"/>
    <w:rsid w:val="00550B65"/>
    <w:rsid w:val="0055776A"/>
    <w:rsid w:val="005735D4"/>
    <w:rsid w:val="005E5F77"/>
    <w:rsid w:val="005F4AFF"/>
    <w:rsid w:val="00603CF2"/>
    <w:rsid w:val="006445EF"/>
    <w:rsid w:val="006535BC"/>
    <w:rsid w:val="00691317"/>
    <w:rsid w:val="00692259"/>
    <w:rsid w:val="006C05CA"/>
    <w:rsid w:val="006E2FF8"/>
    <w:rsid w:val="006F103F"/>
    <w:rsid w:val="00706964"/>
    <w:rsid w:val="00712BC5"/>
    <w:rsid w:val="00721A96"/>
    <w:rsid w:val="00727D2B"/>
    <w:rsid w:val="00737858"/>
    <w:rsid w:val="007608C5"/>
    <w:rsid w:val="00773145"/>
    <w:rsid w:val="007C63D9"/>
    <w:rsid w:val="00821F68"/>
    <w:rsid w:val="008402EF"/>
    <w:rsid w:val="008431C0"/>
    <w:rsid w:val="00844E5F"/>
    <w:rsid w:val="0085553F"/>
    <w:rsid w:val="008823D4"/>
    <w:rsid w:val="00892F70"/>
    <w:rsid w:val="00893971"/>
    <w:rsid w:val="00894D8B"/>
    <w:rsid w:val="008D26F1"/>
    <w:rsid w:val="008D3E0A"/>
    <w:rsid w:val="009029C4"/>
    <w:rsid w:val="009803FA"/>
    <w:rsid w:val="00980B26"/>
    <w:rsid w:val="00990166"/>
    <w:rsid w:val="0099061E"/>
    <w:rsid w:val="00995BAE"/>
    <w:rsid w:val="009A5375"/>
    <w:rsid w:val="009B432F"/>
    <w:rsid w:val="009C483E"/>
    <w:rsid w:val="009D2AEA"/>
    <w:rsid w:val="009D4881"/>
    <w:rsid w:val="009F0CA3"/>
    <w:rsid w:val="00A20EBA"/>
    <w:rsid w:val="00A2483D"/>
    <w:rsid w:val="00A2490D"/>
    <w:rsid w:val="00A34F8C"/>
    <w:rsid w:val="00A35BE7"/>
    <w:rsid w:val="00A371DD"/>
    <w:rsid w:val="00A51C44"/>
    <w:rsid w:val="00A770CA"/>
    <w:rsid w:val="00A90608"/>
    <w:rsid w:val="00A90703"/>
    <w:rsid w:val="00AD3AFC"/>
    <w:rsid w:val="00AD4972"/>
    <w:rsid w:val="00AE224E"/>
    <w:rsid w:val="00B17C29"/>
    <w:rsid w:val="00B4003E"/>
    <w:rsid w:val="00B47D31"/>
    <w:rsid w:val="00B63E32"/>
    <w:rsid w:val="00B76A28"/>
    <w:rsid w:val="00B81F16"/>
    <w:rsid w:val="00B90EBA"/>
    <w:rsid w:val="00BA2609"/>
    <w:rsid w:val="00BB023A"/>
    <w:rsid w:val="00BC0BD9"/>
    <w:rsid w:val="00BC2C45"/>
    <w:rsid w:val="00BE071B"/>
    <w:rsid w:val="00BE6D66"/>
    <w:rsid w:val="00BF69C5"/>
    <w:rsid w:val="00C251CC"/>
    <w:rsid w:val="00C4656F"/>
    <w:rsid w:val="00CC6E33"/>
    <w:rsid w:val="00CC7984"/>
    <w:rsid w:val="00CD0A20"/>
    <w:rsid w:val="00CD3CE1"/>
    <w:rsid w:val="00CF3D87"/>
    <w:rsid w:val="00D52D46"/>
    <w:rsid w:val="00D53AFC"/>
    <w:rsid w:val="00D63481"/>
    <w:rsid w:val="00D72CF4"/>
    <w:rsid w:val="00D74502"/>
    <w:rsid w:val="00D80B90"/>
    <w:rsid w:val="00D9066F"/>
    <w:rsid w:val="00D94D22"/>
    <w:rsid w:val="00D97DD6"/>
    <w:rsid w:val="00DB017F"/>
    <w:rsid w:val="00DB3173"/>
    <w:rsid w:val="00DB5B0D"/>
    <w:rsid w:val="00DE2289"/>
    <w:rsid w:val="00DF7A80"/>
    <w:rsid w:val="00E069DE"/>
    <w:rsid w:val="00E2331B"/>
    <w:rsid w:val="00E570CA"/>
    <w:rsid w:val="00E73E81"/>
    <w:rsid w:val="00E83AD6"/>
    <w:rsid w:val="00E87A89"/>
    <w:rsid w:val="00E971C2"/>
    <w:rsid w:val="00EB4987"/>
    <w:rsid w:val="00F019E9"/>
    <w:rsid w:val="00F01D09"/>
    <w:rsid w:val="00F07E49"/>
    <w:rsid w:val="00F27275"/>
    <w:rsid w:val="00F359D3"/>
    <w:rsid w:val="00F62A52"/>
    <w:rsid w:val="00F64632"/>
    <w:rsid w:val="00F920F3"/>
    <w:rsid w:val="00FC3E11"/>
    <w:rsid w:val="00FC65F4"/>
    <w:rsid w:val="00FF187C"/>
    <w:rsid w:val="00FF44C1"/>
    <w:rsid w:val="00FF640C"/>
    <w:rsid w:val="361F1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CE8D11"/>
  <w15:chartTrackingRefBased/>
  <w15:docId w15:val="{D3B81AE3-9E69-7740-8607-5AB40221D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0012F"/>
    <w:pPr>
      <w:spacing w:before="240" w:line="30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44E5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44E5F"/>
  </w:style>
  <w:style w:type="paragraph" w:styleId="Zpat">
    <w:name w:val="footer"/>
    <w:basedOn w:val="Normln"/>
    <w:link w:val="ZpatChar"/>
    <w:uiPriority w:val="99"/>
    <w:unhideWhenUsed/>
    <w:rsid w:val="00844E5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44E5F"/>
  </w:style>
  <w:style w:type="table" w:styleId="Mkatabulky">
    <w:name w:val="Table Grid"/>
    <w:basedOn w:val="Normlntabulka"/>
    <w:uiPriority w:val="39"/>
    <w:rsid w:val="00844E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mini">
    <w:name w:val="Normální mini"/>
    <w:basedOn w:val="Normln"/>
    <w:qFormat/>
    <w:rsid w:val="003F2E5F"/>
    <w:pPr>
      <w:spacing w:before="0"/>
    </w:pPr>
    <w:rPr>
      <w:sz w:val="16"/>
      <w:szCs w:val="21"/>
    </w:rPr>
  </w:style>
  <w:style w:type="paragraph" w:styleId="Bezmezer">
    <w:name w:val="No Spacing"/>
    <w:uiPriority w:val="1"/>
    <w:qFormat/>
    <w:rsid w:val="003F2E5F"/>
    <w:rPr>
      <w:rFonts w:ascii="Inter" w:hAnsi="Inter"/>
    </w:rPr>
  </w:style>
  <w:style w:type="character" w:styleId="Hypertextovodkaz">
    <w:name w:val="Hyperlink"/>
    <w:basedOn w:val="Standardnpsmoodstavce"/>
    <w:uiPriority w:val="99"/>
    <w:unhideWhenUsed/>
    <w:rsid w:val="00D72CF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72CF4"/>
    <w:rPr>
      <w:color w:val="605E5C"/>
      <w:shd w:val="clear" w:color="auto" w:fill="E1DFDD"/>
    </w:rPr>
  </w:style>
  <w:style w:type="paragraph" w:customStyle="1" w:styleId="Normlnodvolacdaje">
    <w:name w:val="Normální odvolací údaje"/>
    <w:basedOn w:val="Normlnmini"/>
    <w:qFormat/>
    <w:rsid w:val="00AD3AFC"/>
    <w:pPr>
      <w:spacing w:before="40" w:after="20" w:line="240" w:lineRule="auto"/>
    </w:pPr>
    <w:rPr>
      <w:sz w:val="11"/>
      <w:szCs w:val="16"/>
    </w:rPr>
  </w:style>
  <w:style w:type="paragraph" w:customStyle="1" w:styleId="NORMLNkapitlky">
    <w:name w:val="NORMÁLNÍ kapitálky"/>
    <w:basedOn w:val="Normlnmini"/>
    <w:qFormat/>
    <w:rsid w:val="00F62A52"/>
    <w:pPr>
      <w:jc w:val="center"/>
    </w:pPr>
    <w:rPr>
      <w:rFonts w:cs="Times New Roman (Základní text"/>
      <w:color w:val="D22D0F"/>
      <w:spacing w:val="80"/>
    </w:rPr>
  </w:style>
  <w:style w:type="character" w:styleId="Siln">
    <w:name w:val="Strong"/>
    <w:basedOn w:val="Standardnpsmoodstavce"/>
    <w:uiPriority w:val="22"/>
    <w:qFormat/>
    <w:rsid w:val="001C5526"/>
    <w:rPr>
      <w:b/>
      <w:bCs/>
    </w:rPr>
  </w:style>
  <w:style w:type="character" w:styleId="Zdraznn">
    <w:name w:val="Emphasis"/>
    <w:uiPriority w:val="20"/>
    <w:qFormat/>
    <w:rsid w:val="00FF44C1"/>
    <w:rPr>
      <w:i/>
      <w:iCs/>
    </w:rPr>
  </w:style>
  <w:style w:type="character" w:styleId="Sledovanodkaz">
    <w:name w:val="FollowedHyperlink"/>
    <w:basedOn w:val="Standardnpsmoodstavce"/>
    <w:uiPriority w:val="99"/>
    <w:semiHidden/>
    <w:unhideWhenUsed/>
    <w:rsid w:val="00BF69C5"/>
    <w:rPr>
      <w:color w:val="954F72" w:themeColor="followed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2D5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cs-CZ"/>
    </w:rPr>
  </w:style>
  <w:style w:type="paragraph" w:styleId="Odstavecseseznamem">
    <w:name w:val="List Paragraph"/>
    <w:basedOn w:val="Normln"/>
    <w:uiPriority w:val="34"/>
    <w:qFormat/>
    <w:rsid w:val="0010012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400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4003E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4003E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4003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4003E"/>
    <w:rPr>
      <w:b/>
      <w:bCs/>
      <w:szCs w:val="20"/>
    </w:rPr>
  </w:style>
  <w:style w:type="paragraph" w:styleId="Revize">
    <w:name w:val="Revision"/>
    <w:hidden/>
    <w:uiPriority w:val="99"/>
    <w:semiHidden/>
    <w:rsid w:val="00B4003E"/>
  </w:style>
  <w:style w:type="paragraph" w:styleId="Textbubliny">
    <w:name w:val="Balloon Text"/>
    <w:basedOn w:val="Normln"/>
    <w:link w:val="TextbublinyChar"/>
    <w:uiPriority w:val="99"/>
    <w:semiHidden/>
    <w:unhideWhenUsed/>
    <w:rsid w:val="00B4003E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003E"/>
    <w:rPr>
      <w:rFonts w:ascii="Segoe UI" w:hAnsi="Segoe UI" w:cs="Segoe UI"/>
      <w:sz w:val="18"/>
      <w:szCs w:val="18"/>
    </w:rPr>
  </w:style>
  <w:style w:type="paragraph" w:customStyle="1" w:styleId="l4">
    <w:name w:val="l4"/>
    <w:basedOn w:val="Normln"/>
    <w:rsid w:val="008402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cs-CZ"/>
    </w:rPr>
  </w:style>
  <w:style w:type="paragraph" w:customStyle="1" w:styleId="l5">
    <w:name w:val="l5"/>
    <w:basedOn w:val="Normln"/>
    <w:rsid w:val="008402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8402E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2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vzp.cz/pojistenci/vyhody-a-prispevky/podpurne-programy/trenink-testovani-pameti-pro-seniory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E9ABBF591A3A4794A55379E00E5E3C" ma:contentTypeVersion="3" ma:contentTypeDescription="Vytvoří nový dokument" ma:contentTypeScope="" ma:versionID="900d34adcc27e1898ef2e075b40f0b88">
  <xsd:schema xmlns:xsd="http://www.w3.org/2001/XMLSchema" xmlns:xs="http://www.w3.org/2001/XMLSchema" xmlns:p="http://schemas.microsoft.com/office/2006/metadata/properties" xmlns:ns2="ed81a986-3a82-4f62-a6e6-21d86e8c1efe" xmlns:ns3="189c7478-f36e-4d06-b026-5479ab3e2b44" targetNamespace="http://schemas.microsoft.com/office/2006/metadata/properties" ma:root="true" ma:fieldsID="a4a26a1ba8c2871d213337479eae35d7" ns2:_="" ns3:_="">
    <xsd:import namespace="ed81a986-3a82-4f62-a6e6-21d86e8c1efe"/>
    <xsd:import namespace="189c7478-f36e-4d06-b026-5479ab3e2b44"/>
    <xsd:element name="properties">
      <xsd:complexType>
        <xsd:sequence>
          <xsd:element name="documentManagement">
            <xsd:complexType>
              <xsd:all>
                <xsd:element ref="ns2:Zodpovida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1a986-3a82-4f62-a6e6-21d86e8c1efe" elementFormDefault="qualified">
    <xsd:import namespace="http://schemas.microsoft.com/office/2006/documentManagement/types"/>
    <xsd:import namespace="http://schemas.microsoft.com/office/infopath/2007/PartnerControls"/>
    <xsd:element name="Zodpovida" ma:index="8" nillable="true" ma:displayName="Zodpovídá" ma:list="UserInfo" ma:SharePointGroup="0" ma:internalName="Zodpovida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7478-f36e-4d06-b026-5479ab3e2b44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odpovida xmlns="ed81a986-3a82-4f62-a6e6-21d86e8c1efe">
      <UserInfo>
        <DisplayName>Váňová Kamila Mgr. (VZP ČR Ústředí)</DisplayName>
        <AccountId>5565</AccountId>
        <AccountType/>
      </UserInfo>
    </Zodpovida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D9C4FA-E8CE-4941-84E1-C12B5E2E70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1a986-3a82-4f62-a6e6-21d86e8c1efe"/>
    <ds:schemaRef ds:uri="189c7478-f36e-4d06-b026-5479ab3e2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75A159-1C31-4A9A-AF6C-356BCDB3FB40}">
  <ds:schemaRefs>
    <ds:schemaRef ds:uri="http://schemas.microsoft.com/office/2006/metadata/properties"/>
    <ds:schemaRef ds:uri="http://schemas.microsoft.com/office/infopath/2007/PartnerControls"/>
    <ds:schemaRef ds:uri="ed81a986-3a82-4f62-a6e6-21d86e8c1efe"/>
  </ds:schemaRefs>
</ds:datastoreItem>
</file>

<file path=customXml/itemProps3.xml><?xml version="1.0" encoding="utf-8"?>
<ds:datastoreItem xmlns:ds="http://schemas.openxmlformats.org/officeDocument/2006/customXml" ds:itemID="{D36F4D36-58AF-46D0-B21C-9596F511E8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501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Sixtová Jana Ing. (VZP ČR Ústředí)</dc:creator>
  <cp:keywords/>
  <dc:description/>
  <cp:lastModifiedBy>Sixtová Jana Ing. (VZP ČR Ústředí)</cp:lastModifiedBy>
  <cp:revision>4</cp:revision>
  <cp:lastPrinted>2023-05-11T09:26:00Z</cp:lastPrinted>
  <dcterms:created xsi:type="dcterms:W3CDTF">2023-09-15T09:46:00Z</dcterms:created>
  <dcterms:modified xsi:type="dcterms:W3CDTF">2023-09-20T06:10:00Z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0x010100C3E9ABBF591A3A4794A55379E00E5E3C</vt:lpwstr>
  </property>
</Properties>
</file>