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821F68">
            <w:pPr>
              <w:pStyle w:val="Bezmezer"/>
              <w:spacing w:line="276" w:lineRule="auto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821F68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821F68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821F68">
            <w:pPr>
              <w:pStyle w:val="Normlnmini"/>
              <w:spacing w:line="276" w:lineRule="auto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821F68">
            <w:pPr>
              <w:pStyle w:val="NORMLNkapitlky"/>
              <w:spacing w:line="276" w:lineRule="auto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1E6DF08" w14:textId="336A0F33" w:rsidR="004A77F8" w:rsidRPr="008823D4" w:rsidRDefault="004A77F8" w:rsidP="00821F68">
      <w:pPr>
        <w:pStyle w:val="Normlnmini"/>
        <w:spacing w:line="276" w:lineRule="auto"/>
        <w:rPr>
          <w:sz w:val="20"/>
        </w:rPr>
      </w:pPr>
    </w:p>
    <w:p w14:paraId="06D5D918" w14:textId="54F61EB9" w:rsidR="00AD3AFC" w:rsidRPr="008823D4" w:rsidRDefault="00AD3AFC" w:rsidP="00821F68">
      <w:pPr>
        <w:pStyle w:val="Normlnmini"/>
        <w:spacing w:line="276" w:lineRule="auto"/>
        <w:rPr>
          <w:sz w:val="20"/>
        </w:rPr>
      </w:pPr>
    </w:p>
    <w:p w14:paraId="62ED152C" w14:textId="49E7290C" w:rsidR="00995BAE" w:rsidRPr="00D9066F" w:rsidRDefault="00995BAE" w:rsidP="00821F68">
      <w:pPr>
        <w:spacing w:before="0" w:line="276" w:lineRule="auto"/>
        <w:jc w:val="right"/>
        <w:rPr>
          <w:color w:val="212121"/>
          <w:szCs w:val="20"/>
        </w:rPr>
      </w:pPr>
      <w:r w:rsidRPr="00D9066F">
        <w:rPr>
          <w:color w:val="212121"/>
          <w:szCs w:val="20"/>
        </w:rPr>
        <w:t xml:space="preserve">Praha </w:t>
      </w:r>
      <w:r w:rsidR="00821F68">
        <w:rPr>
          <w:color w:val="212121"/>
          <w:szCs w:val="20"/>
        </w:rPr>
        <w:t>13</w:t>
      </w:r>
      <w:r w:rsidR="00CD0A20">
        <w:rPr>
          <w:color w:val="212121"/>
          <w:szCs w:val="20"/>
        </w:rPr>
        <w:t xml:space="preserve">. </w:t>
      </w:r>
      <w:r w:rsidR="00821F68">
        <w:rPr>
          <w:color w:val="212121"/>
          <w:szCs w:val="20"/>
        </w:rPr>
        <w:t>9</w:t>
      </w:r>
      <w:r w:rsidR="00CD0A20">
        <w:rPr>
          <w:color w:val="212121"/>
          <w:szCs w:val="20"/>
        </w:rPr>
        <w:t xml:space="preserve">. </w:t>
      </w:r>
      <w:r w:rsidRPr="00D9066F">
        <w:rPr>
          <w:color w:val="212121"/>
          <w:szCs w:val="20"/>
        </w:rPr>
        <w:t>202</w:t>
      </w:r>
      <w:r w:rsidR="00D9066F">
        <w:rPr>
          <w:color w:val="212121"/>
          <w:szCs w:val="20"/>
        </w:rPr>
        <w:t>3</w:t>
      </w:r>
    </w:p>
    <w:p w14:paraId="1E472709" w14:textId="77777777" w:rsidR="00CC6E33" w:rsidRDefault="00CC6E33" w:rsidP="00821F68">
      <w:pPr>
        <w:spacing w:before="0" w:line="276" w:lineRule="auto"/>
        <w:jc w:val="both"/>
        <w:rPr>
          <w:b/>
          <w:bCs/>
          <w:color w:val="D22D0F"/>
          <w:sz w:val="32"/>
          <w:szCs w:val="32"/>
        </w:rPr>
      </w:pPr>
    </w:p>
    <w:p w14:paraId="5D6ACF15" w14:textId="77777777" w:rsidR="00821F68" w:rsidRPr="0061101E" w:rsidRDefault="00821F68" w:rsidP="00821F68">
      <w:pPr>
        <w:spacing w:before="0" w:line="276" w:lineRule="auto"/>
        <w:jc w:val="both"/>
        <w:rPr>
          <w:b/>
          <w:bCs/>
          <w:color w:val="D22D0F"/>
          <w:sz w:val="32"/>
          <w:szCs w:val="32"/>
        </w:rPr>
      </w:pPr>
      <w:bookmarkStart w:id="0" w:name="_GoBack"/>
      <w:r w:rsidRPr="0061101E">
        <w:rPr>
          <w:b/>
          <w:bCs/>
          <w:color w:val="D22D0F"/>
          <w:sz w:val="32"/>
          <w:szCs w:val="32"/>
        </w:rPr>
        <w:t>Atopický ekzém v nejtěžší formě lze léčit biologickou léčbou</w:t>
      </w:r>
    </w:p>
    <w:bookmarkEnd w:id="0"/>
    <w:p w14:paraId="0938FE61" w14:textId="77777777" w:rsidR="00821F68" w:rsidRDefault="00821F68" w:rsidP="00821F68">
      <w:pPr>
        <w:spacing w:before="0" w:line="276" w:lineRule="auto"/>
        <w:jc w:val="both"/>
        <w:rPr>
          <w:b/>
          <w:szCs w:val="20"/>
        </w:rPr>
      </w:pPr>
    </w:p>
    <w:p w14:paraId="2EDA67EB" w14:textId="6A563B97" w:rsidR="00821F68" w:rsidRPr="0038593A" w:rsidRDefault="00821F68" w:rsidP="00821F68">
      <w:pPr>
        <w:spacing w:before="0" w:line="276" w:lineRule="auto"/>
        <w:jc w:val="both"/>
        <w:rPr>
          <w:b/>
          <w:szCs w:val="20"/>
        </w:rPr>
      </w:pPr>
      <w:r>
        <w:rPr>
          <w:b/>
          <w:szCs w:val="20"/>
        </w:rPr>
        <w:t>Atopická dermatitida se dle odborníků v populaci vyskytuje minimálně u dvou procent obyvatel, mezi dětmi dokonce kolem pěti procent. Celkové číslo ale bude velmi pravděpodobně vyšší, uváděné údaje nezohledňují pacienty s velmi mírným průběhem této nemoci.</w:t>
      </w:r>
      <w:r w:rsidRPr="0038593A">
        <w:rPr>
          <w:b/>
          <w:szCs w:val="20"/>
        </w:rPr>
        <w:t xml:space="preserve"> Možnosti léčby atopického ekzému jsou široké a odvíjí se od závažnosti onemocnění. Počínaje využití dermatologických léků, krémů a kožních přípravků, fototerapie a konvenční terapie za použití například cyklosporinu, až po biologickou léčbu v případech, kdy ta předcházející nestačí. Za vrchol v současné terapii atopické dermatitidy se považuje léčba tzv. JAK inhibitory. Tématu se VZP věnuje v souvislosti se Světovým dnem atopického ekzému (14. září). </w:t>
      </w:r>
    </w:p>
    <w:p w14:paraId="49C4E115" w14:textId="77777777" w:rsidR="00821F68" w:rsidRDefault="00821F68" w:rsidP="00821F68">
      <w:pPr>
        <w:spacing w:before="0" w:line="276" w:lineRule="auto"/>
        <w:jc w:val="both"/>
        <w:rPr>
          <w:b/>
          <w:szCs w:val="20"/>
        </w:rPr>
      </w:pPr>
    </w:p>
    <w:p w14:paraId="306B4805" w14:textId="20FBB8B9" w:rsidR="00821F68" w:rsidRPr="00821F68" w:rsidRDefault="00821F68" w:rsidP="00821F68">
      <w:pPr>
        <w:spacing w:before="0" w:line="276" w:lineRule="auto"/>
        <w:jc w:val="both"/>
        <w:rPr>
          <w:b/>
          <w:szCs w:val="20"/>
        </w:rPr>
      </w:pPr>
      <w:r w:rsidRPr="0038593A">
        <w:rPr>
          <w:b/>
          <w:szCs w:val="20"/>
        </w:rPr>
        <w:t>Nejdražší léčba atopické dermatitidy</w:t>
      </w:r>
    </w:p>
    <w:p w14:paraId="43CBFAC2" w14:textId="265FBDAC" w:rsidR="00821F68" w:rsidRDefault="00821F68" w:rsidP="00821F68">
      <w:pPr>
        <w:spacing w:before="0" w:line="276" w:lineRule="auto"/>
        <w:jc w:val="both"/>
        <w:rPr>
          <w:szCs w:val="20"/>
        </w:rPr>
      </w:pPr>
      <w:r w:rsidRPr="003D3593">
        <w:rPr>
          <w:szCs w:val="20"/>
        </w:rPr>
        <w:t>„</w:t>
      </w:r>
      <w:r w:rsidRPr="00821F68">
        <w:rPr>
          <w:i/>
          <w:szCs w:val="20"/>
        </w:rPr>
        <w:t xml:space="preserve">Atopická dermatitida je život velmi znepříjemňující onemocnění. Je proto dobře, že roce 2022 mohla VZP poskytnout velmi efektivní biologickou terapii téměř 500 pacientům s nejtěžšími formami </w:t>
      </w:r>
      <w:r>
        <w:rPr>
          <w:i/>
          <w:szCs w:val="20"/>
        </w:rPr>
        <w:t>této choroby</w:t>
      </w:r>
      <w:r w:rsidRPr="00821F68">
        <w:rPr>
          <w:i/>
          <w:szCs w:val="20"/>
        </w:rPr>
        <w:t xml:space="preserve"> za rekordních 94,3 milionů korun,</w:t>
      </w:r>
      <w:r>
        <w:rPr>
          <w:szCs w:val="20"/>
        </w:rPr>
        <w:t>“ uvedl předseda správní rady VZP ČR Tom Philipp.</w:t>
      </w:r>
      <w:r w:rsidRPr="0038593A">
        <w:rPr>
          <w:szCs w:val="20"/>
        </w:rPr>
        <w:t xml:space="preserve"> To je téměř o třetinu víc než v roce předchozím, a také víc než desetinásobek oproti roku 2019 (8,3 mil Kč.), kdy biologickou léčbu u této diagnózy pojišťovna začala hradit. </w:t>
      </w:r>
    </w:p>
    <w:p w14:paraId="650A91DF" w14:textId="77777777" w:rsidR="00821F68" w:rsidRDefault="00821F68" w:rsidP="00821F68">
      <w:pPr>
        <w:spacing w:before="0" w:line="276" w:lineRule="auto"/>
        <w:jc w:val="both"/>
        <w:rPr>
          <w:b/>
          <w:szCs w:val="20"/>
        </w:rPr>
      </w:pPr>
    </w:p>
    <w:p w14:paraId="0A7CA1F5" w14:textId="1EB6C75A" w:rsidR="00821F68" w:rsidRPr="0038593A" w:rsidRDefault="00821F68" w:rsidP="00821F68">
      <w:pPr>
        <w:spacing w:before="0" w:line="276" w:lineRule="auto"/>
        <w:jc w:val="both"/>
        <w:rPr>
          <w:b/>
          <w:szCs w:val="20"/>
        </w:rPr>
      </w:pPr>
      <w:proofErr w:type="spellStart"/>
      <w:r w:rsidRPr="0038593A">
        <w:rPr>
          <w:b/>
          <w:szCs w:val="20"/>
        </w:rPr>
        <w:t>Centrová</w:t>
      </w:r>
      <w:proofErr w:type="spellEnd"/>
      <w:r w:rsidRPr="0038593A">
        <w:rPr>
          <w:b/>
          <w:szCs w:val="20"/>
        </w:rPr>
        <w:t xml:space="preserve"> léčba těžké atopické dermatitidy v letech 2019-2022</w:t>
      </w:r>
    </w:p>
    <w:tbl>
      <w:tblPr>
        <w:tblW w:w="9052" w:type="dxa"/>
        <w:tblBorders>
          <w:top w:val="single" w:sz="12" w:space="0" w:color="FFFFFF" w:themeColor="background1"/>
          <w:left w:val="single" w:sz="8" w:space="0" w:color="FFFFFF"/>
          <w:bottom w:val="single" w:sz="8" w:space="0" w:color="FFFFFF"/>
          <w:right w:val="single" w:sz="8" w:space="0" w:color="FFFFFF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13"/>
        <w:gridCol w:w="1817"/>
        <w:gridCol w:w="1814"/>
        <w:gridCol w:w="1804"/>
        <w:gridCol w:w="1804"/>
      </w:tblGrid>
      <w:tr w:rsidR="00821F68" w:rsidRPr="00373449" w14:paraId="43C33A15" w14:textId="77777777" w:rsidTr="007A71B8">
        <w:tc>
          <w:tcPr>
            <w:tcW w:w="1813" w:type="dxa"/>
            <w:shd w:val="clear" w:color="auto" w:fill="C0504D"/>
            <w:vAlign w:val="center"/>
          </w:tcPr>
          <w:p w14:paraId="2DB1A070" w14:textId="77777777" w:rsidR="00821F68" w:rsidRPr="00373449" w:rsidRDefault="00821F68" w:rsidP="00821F68">
            <w:pPr>
              <w:keepNext/>
              <w:keepLines/>
              <w:spacing w:before="0" w:line="276" w:lineRule="auto"/>
              <w:jc w:val="both"/>
              <w:rPr>
                <w:rFonts w:eastAsia="Calibri"/>
                <w:b/>
                <w:bCs/>
                <w:color w:val="FFFFFF"/>
              </w:rPr>
            </w:pPr>
          </w:p>
        </w:tc>
        <w:tc>
          <w:tcPr>
            <w:tcW w:w="1817" w:type="dxa"/>
            <w:shd w:val="clear" w:color="auto" w:fill="C0504D"/>
            <w:vAlign w:val="center"/>
          </w:tcPr>
          <w:p w14:paraId="1264AF46" w14:textId="77777777" w:rsidR="00821F68" w:rsidRPr="00373449" w:rsidRDefault="00821F68" w:rsidP="00821F68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Cs w:val="20"/>
              </w:rPr>
              <w:t>2019</w:t>
            </w:r>
          </w:p>
        </w:tc>
        <w:tc>
          <w:tcPr>
            <w:tcW w:w="1814" w:type="dxa"/>
            <w:shd w:val="clear" w:color="auto" w:fill="C0504D"/>
            <w:vAlign w:val="center"/>
          </w:tcPr>
          <w:p w14:paraId="3BA4C7F4" w14:textId="77777777" w:rsidR="00821F68" w:rsidRPr="00373449" w:rsidRDefault="00821F68" w:rsidP="00821F68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Cs w:val="20"/>
              </w:rPr>
              <w:t>2020</w:t>
            </w:r>
          </w:p>
        </w:tc>
        <w:tc>
          <w:tcPr>
            <w:tcW w:w="1804" w:type="dxa"/>
            <w:shd w:val="clear" w:color="auto" w:fill="C0504D"/>
            <w:vAlign w:val="center"/>
          </w:tcPr>
          <w:p w14:paraId="3B97A5F8" w14:textId="77777777" w:rsidR="00821F68" w:rsidRDefault="00821F68" w:rsidP="00821F68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Cs w:val="20"/>
              </w:rPr>
              <w:t>2021</w:t>
            </w:r>
          </w:p>
        </w:tc>
        <w:tc>
          <w:tcPr>
            <w:tcW w:w="1804" w:type="dxa"/>
            <w:shd w:val="clear" w:color="auto" w:fill="C0504D"/>
            <w:vAlign w:val="center"/>
          </w:tcPr>
          <w:p w14:paraId="43C6FC20" w14:textId="77777777" w:rsidR="00821F68" w:rsidRDefault="00821F68" w:rsidP="00821F68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Cs w:val="20"/>
              </w:rPr>
              <w:t>2022</w:t>
            </w:r>
          </w:p>
        </w:tc>
      </w:tr>
      <w:tr w:rsidR="00821F68" w:rsidRPr="00373449" w14:paraId="333E9E5F" w14:textId="77777777" w:rsidTr="00821F68">
        <w:trPr>
          <w:trHeight w:val="432"/>
        </w:trPr>
        <w:tc>
          <w:tcPr>
            <w:tcW w:w="1813" w:type="dxa"/>
            <w:shd w:val="clear" w:color="auto" w:fill="C0504D"/>
            <w:vAlign w:val="center"/>
          </w:tcPr>
          <w:p w14:paraId="33980508" w14:textId="77777777" w:rsidR="00821F68" w:rsidRPr="00373449" w:rsidRDefault="00821F68" w:rsidP="00821F68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Cs w:val="20"/>
              </w:rPr>
              <w:t>Náklady v Kč</w:t>
            </w:r>
          </w:p>
        </w:tc>
        <w:tc>
          <w:tcPr>
            <w:tcW w:w="1817" w:type="dxa"/>
            <w:shd w:val="clear" w:color="auto" w:fill="DFA7A6"/>
            <w:vAlign w:val="center"/>
          </w:tcPr>
          <w:p w14:paraId="6A05CFBB" w14:textId="77777777" w:rsidR="00821F68" w:rsidRPr="00373449" w:rsidRDefault="00821F68" w:rsidP="00821F68">
            <w:pPr>
              <w:spacing w:before="0" w:line="276" w:lineRule="auto"/>
              <w:jc w:val="center"/>
              <w:rPr>
                <w:bCs/>
                <w:color w:val="000000"/>
              </w:rPr>
            </w:pPr>
            <w:r w:rsidRPr="0038593A">
              <w:rPr>
                <w:szCs w:val="20"/>
              </w:rPr>
              <w:t>8 394 173</w:t>
            </w:r>
          </w:p>
        </w:tc>
        <w:tc>
          <w:tcPr>
            <w:tcW w:w="1814" w:type="dxa"/>
            <w:shd w:val="clear" w:color="auto" w:fill="DFA7A6"/>
            <w:vAlign w:val="center"/>
          </w:tcPr>
          <w:p w14:paraId="7BFF323D" w14:textId="77777777" w:rsidR="00821F68" w:rsidRPr="00373449" w:rsidRDefault="00821F68" w:rsidP="00821F68">
            <w:pPr>
              <w:spacing w:before="0" w:line="276" w:lineRule="auto"/>
              <w:jc w:val="center"/>
              <w:rPr>
                <w:bCs/>
                <w:color w:val="000000"/>
              </w:rPr>
            </w:pPr>
            <w:r w:rsidRPr="0038593A">
              <w:rPr>
                <w:szCs w:val="20"/>
              </w:rPr>
              <w:t>37 065 605</w:t>
            </w:r>
          </w:p>
        </w:tc>
        <w:tc>
          <w:tcPr>
            <w:tcW w:w="1804" w:type="dxa"/>
            <w:shd w:val="clear" w:color="auto" w:fill="DFA7A6"/>
            <w:vAlign w:val="center"/>
          </w:tcPr>
          <w:p w14:paraId="0837514A" w14:textId="77777777" w:rsidR="00821F68" w:rsidRPr="00373449" w:rsidRDefault="00821F68" w:rsidP="00821F68">
            <w:pPr>
              <w:spacing w:before="0" w:line="276" w:lineRule="auto"/>
              <w:jc w:val="center"/>
              <w:rPr>
                <w:bCs/>
                <w:color w:val="000000"/>
              </w:rPr>
            </w:pPr>
            <w:r w:rsidRPr="0038593A">
              <w:rPr>
                <w:szCs w:val="20"/>
              </w:rPr>
              <w:t>73 364 453</w:t>
            </w:r>
          </w:p>
        </w:tc>
        <w:tc>
          <w:tcPr>
            <w:tcW w:w="1804" w:type="dxa"/>
            <w:shd w:val="clear" w:color="auto" w:fill="DFA7A6"/>
            <w:vAlign w:val="center"/>
          </w:tcPr>
          <w:p w14:paraId="4D363290" w14:textId="77777777" w:rsidR="00821F68" w:rsidRPr="00373449" w:rsidRDefault="00821F68" w:rsidP="00821F68">
            <w:pPr>
              <w:spacing w:before="0" w:line="276" w:lineRule="auto"/>
              <w:jc w:val="center"/>
              <w:rPr>
                <w:bCs/>
                <w:color w:val="000000"/>
              </w:rPr>
            </w:pPr>
            <w:r w:rsidRPr="0038593A">
              <w:rPr>
                <w:szCs w:val="20"/>
              </w:rPr>
              <w:t>94 375 501</w:t>
            </w:r>
          </w:p>
        </w:tc>
      </w:tr>
      <w:tr w:rsidR="00821F68" w:rsidRPr="00373449" w14:paraId="108CE0E1" w14:textId="77777777" w:rsidTr="00821F68">
        <w:trPr>
          <w:trHeight w:val="382"/>
        </w:trPr>
        <w:tc>
          <w:tcPr>
            <w:tcW w:w="1813" w:type="dxa"/>
            <w:shd w:val="clear" w:color="auto" w:fill="C0504D"/>
            <w:vAlign w:val="center"/>
          </w:tcPr>
          <w:p w14:paraId="044E771C" w14:textId="77777777" w:rsidR="00821F68" w:rsidRPr="00373449" w:rsidRDefault="00821F68" w:rsidP="00821F68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Cs w:val="20"/>
              </w:rPr>
              <w:t>Počet pacientů</w:t>
            </w:r>
          </w:p>
        </w:tc>
        <w:tc>
          <w:tcPr>
            <w:tcW w:w="1817" w:type="dxa"/>
            <w:tcBorders>
              <w:bottom w:val="single" w:sz="4" w:space="0" w:color="FFFFFF" w:themeColor="background1"/>
            </w:tcBorders>
            <w:shd w:val="clear" w:color="auto" w:fill="EFD3D2"/>
            <w:vAlign w:val="center"/>
          </w:tcPr>
          <w:p w14:paraId="513C236B" w14:textId="77777777" w:rsidR="00821F68" w:rsidRPr="00373449" w:rsidRDefault="00821F68" w:rsidP="00821F68">
            <w:pPr>
              <w:spacing w:before="0" w:line="276" w:lineRule="auto"/>
              <w:jc w:val="center"/>
              <w:rPr>
                <w:bCs/>
                <w:color w:val="000000"/>
              </w:rPr>
            </w:pPr>
            <w:r w:rsidRPr="0038593A">
              <w:rPr>
                <w:szCs w:val="20"/>
              </w:rPr>
              <w:t>65</w:t>
            </w:r>
          </w:p>
        </w:tc>
        <w:tc>
          <w:tcPr>
            <w:tcW w:w="1814" w:type="dxa"/>
            <w:shd w:val="clear" w:color="auto" w:fill="EFD3D2"/>
            <w:vAlign w:val="center"/>
          </w:tcPr>
          <w:p w14:paraId="0B27AD32" w14:textId="77777777" w:rsidR="00821F68" w:rsidRPr="00373449" w:rsidRDefault="00821F68" w:rsidP="00821F68">
            <w:pPr>
              <w:spacing w:before="0" w:line="276" w:lineRule="auto"/>
              <w:jc w:val="center"/>
              <w:rPr>
                <w:bCs/>
                <w:color w:val="000000"/>
              </w:rPr>
            </w:pPr>
            <w:r w:rsidRPr="0038593A">
              <w:rPr>
                <w:szCs w:val="20"/>
              </w:rPr>
              <w:t>162</w:t>
            </w:r>
          </w:p>
        </w:tc>
        <w:tc>
          <w:tcPr>
            <w:tcW w:w="1804" w:type="dxa"/>
            <w:shd w:val="clear" w:color="auto" w:fill="EFD3D2"/>
            <w:vAlign w:val="center"/>
          </w:tcPr>
          <w:p w14:paraId="0C2C0B2B" w14:textId="77777777" w:rsidR="00821F68" w:rsidRPr="00373449" w:rsidRDefault="00821F68" w:rsidP="00821F68">
            <w:pPr>
              <w:spacing w:before="0" w:line="276" w:lineRule="auto"/>
              <w:jc w:val="center"/>
              <w:rPr>
                <w:bCs/>
                <w:color w:val="000000"/>
              </w:rPr>
            </w:pPr>
            <w:r w:rsidRPr="0038593A">
              <w:rPr>
                <w:szCs w:val="20"/>
              </w:rPr>
              <w:t>287</w:t>
            </w:r>
          </w:p>
        </w:tc>
        <w:tc>
          <w:tcPr>
            <w:tcW w:w="1804" w:type="dxa"/>
            <w:shd w:val="clear" w:color="auto" w:fill="EFD3D2"/>
            <w:vAlign w:val="center"/>
          </w:tcPr>
          <w:p w14:paraId="10B52659" w14:textId="77777777" w:rsidR="00821F68" w:rsidRPr="00373449" w:rsidRDefault="00821F68" w:rsidP="00821F68">
            <w:pPr>
              <w:spacing w:before="0" w:line="276" w:lineRule="auto"/>
              <w:jc w:val="center"/>
              <w:rPr>
                <w:bCs/>
                <w:color w:val="000000"/>
              </w:rPr>
            </w:pPr>
            <w:r w:rsidRPr="0038593A">
              <w:rPr>
                <w:szCs w:val="20"/>
              </w:rPr>
              <w:t>495</w:t>
            </w:r>
          </w:p>
        </w:tc>
      </w:tr>
    </w:tbl>
    <w:p w14:paraId="2F757D8B" w14:textId="77777777" w:rsidR="00821F68" w:rsidRDefault="00821F68" w:rsidP="00821F68">
      <w:pPr>
        <w:spacing w:before="0" w:line="276" w:lineRule="auto"/>
        <w:jc w:val="both"/>
        <w:rPr>
          <w:b/>
          <w:szCs w:val="20"/>
        </w:rPr>
      </w:pPr>
    </w:p>
    <w:p w14:paraId="5436132D" w14:textId="49507A6D" w:rsidR="00821F68" w:rsidRPr="0038593A" w:rsidRDefault="00821F68" w:rsidP="00821F68">
      <w:pPr>
        <w:spacing w:before="0" w:line="276" w:lineRule="auto"/>
        <w:jc w:val="both"/>
        <w:rPr>
          <w:b/>
          <w:szCs w:val="20"/>
        </w:rPr>
      </w:pPr>
      <w:r w:rsidRPr="0038593A">
        <w:rPr>
          <w:b/>
          <w:szCs w:val="20"/>
        </w:rPr>
        <w:t>Biologická léčba atopického ekz</w:t>
      </w:r>
      <w:r>
        <w:rPr>
          <w:b/>
          <w:szCs w:val="20"/>
        </w:rPr>
        <w:t>é</w:t>
      </w:r>
      <w:r w:rsidRPr="0038593A">
        <w:rPr>
          <w:b/>
          <w:szCs w:val="20"/>
        </w:rPr>
        <w:t>mu</w:t>
      </w:r>
    </w:p>
    <w:p w14:paraId="14464332" w14:textId="495DFE16" w:rsidR="00821F68" w:rsidRDefault="00821F68" w:rsidP="00821F68">
      <w:pPr>
        <w:spacing w:before="0" w:line="276" w:lineRule="auto"/>
        <w:jc w:val="both"/>
        <w:rPr>
          <w:szCs w:val="20"/>
        </w:rPr>
      </w:pPr>
      <w:r w:rsidRPr="0038593A">
        <w:rPr>
          <w:szCs w:val="20"/>
        </w:rPr>
        <w:t xml:space="preserve">V současné době jsou z veřejného zdravotního pojištění hrazeny </w:t>
      </w:r>
      <w:r>
        <w:rPr>
          <w:szCs w:val="20"/>
        </w:rPr>
        <w:t>čtyři</w:t>
      </w:r>
      <w:r w:rsidRPr="0038593A">
        <w:rPr>
          <w:szCs w:val="20"/>
        </w:rPr>
        <w:t xml:space="preserve"> přípravky k biologické léčbě těžké atopické dermatitidy pro děti i dospělé. VZP začala biologickou léčbu </w:t>
      </w:r>
      <w:proofErr w:type="spellStart"/>
      <w:r w:rsidRPr="0038593A">
        <w:rPr>
          <w:szCs w:val="20"/>
        </w:rPr>
        <w:t>atopiků</w:t>
      </w:r>
      <w:proofErr w:type="spellEnd"/>
      <w:r w:rsidRPr="0038593A">
        <w:rPr>
          <w:szCs w:val="20"/>
        </w:rPr>
        <w:t xml:space="preserve"> hradit v roce 2019 jed</w:t>
      </w:r>
      <w:r>
        <w:rPr>
          <w:szCs w:val="20"/>
        </w:rPr>
        <w:t>iný</w:t>
      </w:r>
      <w:r w:rsidRPr="0038593A">
        <w:rPr>
          <w:szCs w:val="20"/>
        </w:rPr>
        <w:t xml:space="preserve">m léčivým přípravkem, který byl nejprve určen dospělým, poté i dětem. V roce 2022 a 2023 VZP začala postupně hradit nové terapeutické intervence, tzv. JAK inhibitory. </w:t>
      </w:r>
    </w:p>
    <w:p w14:paraId="35E95B7F" w14:textId="77777777" w:rsidR="00821F68" w:rsidRPr="0038593A" w:rsidRDefault="00821F68" w:rsidP="00821F68">
      <w:pPr>
        <w:spacing w:before="0" w:line="276" w:lineRule="auto"/>
        <w:jc w:val="both"/>
        <w:rPr>
          <w:szCs w:val="20"/>
        </w:rPr>
      </w:pPr>
    </w:p>
    <w:p w14:paraId="4F359A83" w14:textId="77777777" w:rsidR="00821F68" w:rsidRDefault="00821F68" w:rsidP="0082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Souhrnné náklady na biologickou </w:t>
      </w:r>
      <w:r w:rsidRPr="0038593A">
        <w:rPr>
          <w:b/>
          <w:szCs w:val="20"/>
        </w:rPr>
        <w:t>léčb</w:t>
      </w:r>
      <w:r>
        <w:rPr>
          <w:b/>
          <w:szCs w:val="20"/>
        </w:rPr>
        <w:t>u klientů VZP u všech diagnóz</w:t>
      </w:r>
    </w:p>
    <w:p w14:paraId="5675852E" w14:textId="77777777" w:rsidR="00821F68" w:rsidRPr="0038593A" w:rsidRDefault="00821F68" w:rsidP="0082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both"/>
        <w:rPr>
          <w:szCs w:val="20"/>
        </w:rPr>
      </w:pPr>
      <w:r w:rsidRPr="0038593A">
        <w:rPr>
          <w:szCs w:val="20"/>
        </w:rPr>
        <w:t>VZP realizuje aktivní lékovou politiku, jejímž cílem je vyvážené zajištění a zlepšování dostupnosti moderní terapie, řízení nákladů zdravotního pojištění, uzavírání risk-</w:t>
      </w:r>
      <w:proofErr w:type="spellStart"/>
      <w:r w:rsidRPr="0038593A">
        <w:rPr>
          <w:szCs w:val="20"/>
        </w:rPr>
        <w:t>sharingových</w:t>
      </w:r>
      <w:proofErr w:type="spellEnd"/>
      <w:r w:rsidRPr="0038593A">
        <w:rPr>
          <w:szCs w:val="20"/>
        </w:rPr>
        <w:t xml:space="preserve"> smluv s dodavateli a vyhodnocování efektu léčiv pro pacienty. Podstatnou roli zde hraje také spolupráce s odbornými společnostmi. Díky tomu se VZP se daří zajistit indikovaným pacientům lepší přístup k nejmodernější a nejdražší terapii. Vloni zaplatila VZP za </w:t>
      </w:r>
      <w:proofErr w:type="spellStart"/>
      <w:r w:rsidRPr="0038593A">
        <w:rPr>
          <w:szCs w:val="20"/>
        </w:rPr>
        <w:t>centrové</w:t>
      </w:r>
      <w:proofErr w:type="spellEnd"/>
      <w:r w:rsidRPr="0038593A">
        <w:rPr>
          <w:szCs w:val="20"/>
        </w:rPr>
        <w:t xml:space="preserve"> přípravky rekordních 18 miliard korun, tj. o 70 % víc, než tomu bylo před 5 lety. Léčbu poskytovanou v specializovaných centrech vloni podstoupilo 66 278 pacientů.</w:t>
      </w:r>
    </w:p>
    <w:p w14:paraId="7DCF7C61" w14:textId="77777777" w:rsidR="002D542C" w:rsidRPr="002D542C" w:rsidRDefault="002D542C" w:rsidP="00821F68">
      <w:pPr>
        <w:spacing w:before="0" w:line="276" w:lineRule="auto"/>
        <w:jc w:val="both"/>
        <w:rPr>
          <w:bCs/>
          <w:szCs w:val="20"/>
        </w:rPr>
      </w:pPr>
    </w:p>
    <w:p w14:paraId="465AF1C0" w14:textId="1434D037" w:rsidR="00995BAE" w:rsidRPr="00117FF2" w:rsidRDefault="00526A50" w:rsidP="00821F68">
      <w:pPr>
        <w:spacing w:before="0" w:line="276" w:lineRule="auto"/>
        <w:rPr>
          <w:b/>
          <w:bCs/>
          <w:szCs w:val="20"/>
        </w:rPr>
      </w:pPr>
      <w:r>
        <w:rPr>
          <w:b/>
          <w:bCs/>
          <w:szCs w:val="20"/>
        </w:rPr>
        <w:t>Viktorie Plívová</w:t>
      </w:r>
    </w:p>
    <w:p w14:paraId="29F91A9C" w14:textId="6787658C" w:rsidR="00995BAE" w:rsidRPr="00117FF2" w:rsidRDefault="00526A50" w:rsidP="00821F68">
      <w:pPr>
        <w:spacing w:before="0" w:line="276" w:lineRule="auto"/>
        <w:rPr>
          <w:szCs w:val="20"/>
        </w:rPr>
      </w:pPr>
      <w:r>
        <w:rPr>
          <w:szCs w:val="20"/>
        </w:rPr>
        <w:t>Tisková mluvčí</w:t>
      </w:r>
    </w:p>
    <w:sectPr w:rsidR="00995BAE" w:rsidRPr="00117FF2" w:rsidSect="00F920F3">
      <w:footerReference w:type="default" r:id="rId11"/>
      <w:pgSz w:w="11906" w:h="16838"/>
      <w:pgMar w:top="1417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C62C1" w14:textId="77777777" w:rsidR="00DB3173" w:rsidRDefault="00DB3173" w:rsidP="00844E5F">
      <w:pPr>
        <w:spacing w:before="0" w:line="240" w:lineRule="auto"/>
      </w:pPr>
      <w:r>
        <w:separator/>
      </w:r>
    </w:p>
  </w:endnote>
  <w:endnote w:type="continuationSeparator" w:id="0">
    <w:p w14:paraId="73C8CE8C" w14:textId="77777777" w:rsidR="00DB3173" w:rsidRDefault="00DB3173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51B6D" w14:textId="77777777" w:rsidR="00DB3173" w:rsidRDefault="00DB3173" w:rsidP="00844E5F">
      <w:pPr>
        <w:spacing w:before="0" w:line="240" w:lineRule="auto"/>
      </w:pPr>
      <w:r>
        <w:separator/>
      </w:r>
    </w:p>
  </w:footnote>
  <w:footnote w:type="continuationSeparator" w:id="0">
    <w:p w14:paraId="65416B39" w14:textId="77777777" w:rsidR="00DB3173" w:rsidRDefault="00DB3173" w:rsidP="00844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1801"/>
    <w:multiLevelType w:val="hybridMultilevel"/>
    <w:tmpl w:val="1D468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EE571F"/>
    <w:multiLevelType w:val="multilevel"/>
    <w:tmpl w:val="FE1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00216"/>
    <w:multiLevelType w:val="multilevel"/>
    <w:tmpl w:val="7F9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24564"/>
    <w:multiLevelType w:val="multilevel"/>
    <w:tmpl w:val="B9D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21E10"/>
    <w:rsid w:val="000249DD"/>
    <w:rsid w:val="00047E2A"/>
    <w:rsid w:val="00082A67"/>
    <w:rsid w:val="000B1A6B"/>
    <w:rsid w:val="000F0D97"/>
    <w:rsid w:val="000F600B"/>
    <w:rsid w:val="0010012F"/>
    <w:rsid w:val="00111EF0"/>
    <w:rsid w:val="00117FF2"/>
    <w:rsid w:val="0014539C"/>
    <w:rsid w:val="0016318C"/>
    <w:rsid w:val="0017097A"/>
    <w:rsid w:val="00173A2F"/>
    <w:rsid w:val="001746D3"/>
    <w:rsid w:val="001864B0"/>
    <w:rsid w:val="00190EE7"/>
    <w:rsid w:val="001A0F6D"/>
    <w:rsid w:val="001A6517"/>
    <w:rsid w:val="001C5526"/>
    <w:rsid w:val="001F5D10"/>
    <w:rsid w:val="002255E5"/>
    <w:rsid w:val="00250A59"/>
    <w:rsid w:val="002539D7"/>
    <w:rsid w:val="00274A20"/>
    <w:rsid w:val="002C0105"/>
    <w:rsid w:val="002D542C"/>
    <w:rsid w:val="002E32D0"/>
    <w:rsid w:val="00315790"/>
    <w:rsid w:val="00322A4A"/>
    <w:rsid w:val="00372F77"/>
    <w:rsid w:val="00373449"/>
    <w:rsid w:val="00383732"/>
    <w:rsid w:val="00391204"/>
    <w:rsid w:val="003B3E13"/>
    <w:rsid w:val="003B637A"/>
    <w:rsid w:val="003C37EE"/>
    <w:rsid w:val="003D5F56"/>
    <w:rsid w:val="003F2E5F"/>
    <w:rsid w:val="003F6E42"/>
    <w:rsid w:val="004359B2"/>
    <w:rsid w:val="00454E77"/>
    <w:rsid w:val="004675A2"/>
    <w:rsid w:val="00471D79"/>
    <w:rsid w:val="004A77F8"/>
    <w:rsid w:val="00526A50"/>
    <w:rsid w:val="00550B65"/>
    <w:rsid w:val="0055776A"/>
    <w:rsid w:val="005735D4"/>
    <w:rsid w:val="005E5F77"/>
    <w:rsid w:val="005F4AFF"/>
    <w:rsid w:val="00603CF2"/>
    <w:rsid w:val="006445EF"/>
    <w:rsid w:val="006535BC"/>
    <w:rsid w:val="00691317"/>
    <w:rsid w:val="00692259"/>
    <w:rsid w:val="006C05CA"/>
    <w:rsid w:val="006E2FF8"/>
    <w:rsid w:val="006F103F"/>
    <w:rsid w:val="00706964"/>
    <w:rsid w:val="00712BC5"/>
    <w:rsid w:val="00721A96"/>
    <w:rsid w:val="00727D2B"/>
    <w:rsid w:val="00737858"/>
    <w:rsid w:val="007608C5"/>
    <w:rsid w:val="00773145"/>
    <w:rsid w:val="007C63D9"/>
    <w:rsid w:val="00821F68"/>
    <w:rsid w:val="008402EF"/>
    <w:rsid w:val="008431C0"/>
    <w:rsid w:val="00844E5F"/>
    <w:rsid w:val="0085553F"/>
    <w:rsid w:val="008823D4"/>
    <w:rsid w:val="00892F70"/>
    <w:rsid w:val="00893971"/>
    <w:rsid w:val="00894D8B"/>
    <w:rsid w:val="008D26F1"/>
    <w:rsid w:val="008D3E0A"/>
    <w:rsid w:val="009029C4"/>
    <w:rsid w:val="009803FA"/>
    <w:rsid w:val="00980B26"/>
    <w:rsid w:val="00990166"/>
    <w:rsid w:val="0099061E"/>
    <w:rsid w:val="00995BAE"/>
    <w:rsid w:val="009A5375"/>
    <w:rsid w:val="009B432F"/>
    <w:rsid w:val="009C483E"/>
    <w:rsid w:val="009D2AEA"/>
    <w:rsid w:val="009D4881"/>
    <w:rsid w:val="009F0CA3"/>
    <w:rsid w:val="00A20EBA"/>
    <w:rsid w:val="00A2483D"/>
    <w:rsid w:val="00A2490D"/>
    <w:rsid w:val="00A34F8C"/>
    <w:rsid w:val="00A35BE7"/>
    <w:rsid w:val="00A371DD"/>
    <w:rsid w:val="00A51C44"/>
    <w:rsid w:val="00A770CA"/>
    <w:rsid w:val="00A90608"/>
    <w:rsid w:val="00A90703"/>
    <w:rsid w:val="00AD3AFC"/>
    <w:rsid w:val="00AD4972"/>
    <w:rsid w:val="00AE224E"/>
    <w:rsid w:val="00B4003E"/>
    <w:rsid w:val="00B47D31"/>
    <w:rsid w:val="00B63E32"/>
    <w:rsid w:val="00B76A28"/>
    <w:rsid w:val="00B81F16"/>
    <w:rsid w:val="00B90EBA"/>
    <w:rsid w:val="00BA2609"/>
    <w:rsid w:val="00BB023A"/>
    <w:rsid w:val="00BC0BD9"/>
    <w:rsid w:val="00BC2C45"/>
    <w:rsid w:val="00BE6D66"/>
    <w:rsid w:val="00BF69C5"/>
    <w:rsid w:val="00C251CC"/>
    <w:rsid w:val="00C4656F"/>
    <w:rsid w:val="00CC6E33"/>
    <w:rsid w:val="00CC7984"/>
    <w:rsid w:val="00CD0A20"/>
    <w:rsid w:val="00CD3CE1"/>
    <w:rsid w:val="00CF3D87"/>
    <w:rsid w:val="00D52D46"/>
    <w:rsid w:val="00D53AFC"/>
    <w:rsid w:val="00D63481"/>
    <w:rsid w:val="00D72CF4"/>
    <w:rsid w:val="00D74502"/>
    <w:rsid w:val="00D80B90"/>
    <w:rsid w:val="00D9066F"/>
    <w:rsid w:val="00D94D22"/>
    <w:rsid w:val="00D97DD6"/>
    <w:rsid w:val="00DB017F"/>
    <w:rsid w:val="00DB3173"/>
    <w:rsid w:val="00DB5B0D"/>
    <w:rsid w:val="00DE2289"/>
    <w:rsid w:val="00DF7A80"/>
    <w:rsid w:val="00E069DE"/>
    <w:rsid w:val="00E2331B"/>
    <w:rsid w:val="00E570CA"/>
    <w:rsid w:val="00E73E81"/>
    <w:rsid w:val="00E83AD6"/>
    <w:rsid w:val="00E971C2"/>
    <w:rsid w:val="00EB4987"/>
    <w:rsid w:val="00F019E9"/>
    <w:rsid w:val="00F01D09"/>
    <w:rsid w:val="00F07E49"/>
    <w:rsid w:val="00F27275"/>
    <w:rsid w:val="00F62A52"/>
    <w:rsid w:val="00F64632"/>
    <w:rsid w:val="00F920F3"/>
    <w:rsid w:val="00FC3E11"/>
    <w:rsid w:val="00FC65F4"/>
    <w:rsid w:val="00FF187C"/>
    <w:rsid w:val="00FF44C1"/>
    <w:rsid w:val="00FF640C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12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styleId="Zdraznn">
    <w:name w:val="Emphasis"/>
    <w:uiPriority w:val="20"/>
    <w:qFormat/>
    <w:rsid w:val="00FF44C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F69C5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D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1001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00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03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03E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0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03E"/>
    <w:rPr>
      <w:b/>
      <w:bCs/>
      <w:szCs w:val="20"/>
    </w:rPr>
  </w:style>
  <w:style w:type="paragraph" w:styleId="Revize">
    <w:name w:val="Revision"/>
    <w:hidden/>
    <w:uiPriority w:val="99"/>
    <w:semiHidden/>
    <w:rsid w:val="00B4003E"/>
  </w:style>
  <w:style w:type="paragraph" w:styleId="Textbubliny">
    <w:name w:val="Balloon Text"/>
    <w:basedOn w:val="Normln"/>
    <w:link w:val="TextbublinyChar"/>
    <w:uiPriority w:val="99"/>
    <w:semiHidden/>
    <w:unhideWhenUsed/>
    <w:rsid w:val="00B4003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03E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l5">
    <w:name w:val="l5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40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customXml/itemProps3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Jana Ing. (VZP ČR Ústředí)</dc:creator>
  <cp:keywords/>
  <dc:description/>
  <cp:lastModifiedBy>Sixtová Jana Ing. (VZP ČR Ústředí)</cp:lastModifiedBy>
  <cp:revision>2</cp:revision>
  <cp:lastPrinted>2023-05-11T09:26:00Z</cp:lastPrinted>
  <dcterms:created xsi:type="dcterms:W3CDTF">2023-09-13T07:30:00Z</dcterms:created>
  <dcterms:modified xsi:type="dcterms:W3CDTF">2023-09-13T07:30:00Z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