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FF44C1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bookmarkStart w:id="0" w:name="_GoBack"/>
            <w:bookmarkEnd w:id="0"/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F44C1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FF44C1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62E8C2D5" w:rsidR="004A77F8" w:rsidRPr="000132A0" w:rsidRDefault="004A77F8" w:rsidP="00FF44C1">
      <w:pPr>
        <w:pStyle w:val="Normlnmini"/>
        <w:spacing w:line="276" w:lineRule="auto"/>
        <w:rPr>
          <w:sz w:val="20"/>
          <w:szCs w:val="20"/>
        </w:rPr>
      </w:pPr>
    </w:p>
    <w:p w14:paraId="16873E22" w14:textId="77777777" w:rsidR="000132A0" w:rsidRPr="000132A0" w:rsidRDefault="000132A0" w:rsidP="00FF44C1">
      <w:pPr>
        <w:pStyle w:val="Normlnmini"/>
        <w:spacing w:line="276" w:lineRule="auto"/>
        <w:rPr>
          <w:sz w:val="20"/>
          <w:szCs w:val="20"/>
        </w:rPr>
      </w:pPr>
    </w:p>
    <w:p w14:paraId="62ED152C" w14:textId="2A5EAFEC" w:rsidR="00995BAE" w:rsidRPr="000132A0" w:rsidRDefault="00995BAE" w:rsidP="00FF44C1">
      <w:pPr>
        <w:spacing w:before="0" w:line="276" w:lineRule="auto"/>
        <w:jc w:val="right"/>
        <w:rPr>
          <w:color w:val="212121"/>
          <w:szCs w:val="20"/>
        </w:rPr>
      </w:pPr>
      <w:r w:rsidRPr="000132A0">
        <w:rPr>
          <w:color w:val="212121"/>
          <w:szCs w:val="20"/>
        </w:rPr>
        <w:t xml:space="preserve">Praha </w:t>
      </w:r>
      <w:r w:rsidR="00F90673">
        <w:rPr>
          <w:color w:val="212121"/>
          <w:szCs w:val="20"/>
        </w:rPr>
        <w:t>21</w:t>
      </w:r>
      <w:r w:rsidR="001416FA" w:rsidRPr="000132A0">
        <w:rPr>
          <w:color w:val="212121"/>
          <w:szCs w:val="20"/>
        </w:rPr>
        <w:t xml:space="preserve">. 8. </w:t>
      </w:r>
      <w:r w:rsidRPr="000132A0">
        <w:rPr>
          <w:color w:val="212121"/>
          <w:szCs w:val="20"/>
        </w:rPr>
        <w:t>202</w:t>
      </w:r>
      <w:r w:rsidR="00D9066F" w:rsidRPr="000132A0">
        <w:rPr>
          <w:color w:val="212121"/>
          <w:szCs w:val="20"/>
        </w:rPr>
        <w:t>3</w:t>
      </w:r>
    </w:p>
    <w:p w14:paraId="1E472709" w14:textId="77777777" w:rsidR="00CC6E33" w:rsidRPr="00774342" w:rsidRDefault="00CC6E33" w:rsidP="00E51B18">
      <w:pPr>
        <w:pStyle w:val="Normlnmini"/>
        <w:spacing w:line="276" w:lineRule="auto"/>
        <w:rPr>
          <w:sz w:val="20"/>
          <w:szCs w:val="20"/>
        </w:rPr>
      </w:pPr>
    </w:p>
    <w:p w14:paraId="397B3DF4" w14:textId="66662175" w:rsidR="001416FA" w:rsidRDefault="00652B1C" w:rsidP="00511FA0">
      <w:pPr>
        <w:spacing w:before="0" w:line="240" w:lineRule="auto"/>
        <w:jc w:val="center"/>
        <w:rPr>
          <w:b/>
          <w:bCs/>
          <w:color w:val="D22D0F"/>
          <w:sz w:val="30"/>
          <w:szCs w:val="30"/>
        </w:rPr>
      </w:pPr>
      <w:r>
        <w:rPr>
          <w:b/>
          <w:bCs/>
          <w:color w:val="D22D0F"/>
          <w:sz w:val="30"/>
          <w:szCs w:val="30"/>
        </w:rPr>
        <w:t>Nárok na vrácení přeplatků za léky vznikl v prvním pololetí rekordnímu počtu klientů VZP</w:t>
      </w:r>
    </w:p>
    <w:p w14:paraId="771E68A2" w14:textId="77777777" w:rsidR="008E3A0E" w:rsidRPr="00AB54D8" w:rsidRDefault="008E3A0E" w:rsidP="00AB54D8">
      <w:pPr>
        <w:pStyle w:val="Normlnmini"/>
        <w:spacing w:line="276" w:lineRule="auto"/>
        <w:rPr>
          <w:sz w:val="20"/>
          <w:szCs w:val="20"/>
        </w:rPr>
      </w:pPr>
    </w:p>
    <w:p w14:paraId="523B24B8" w14:textId="71D4F729" w:rsidR="00511FA0" w:rsidRPr="008E3A0E" w:rsidRDefault="004E4AB4" w:rsidP="008E3A0E">
      <w:pPr>
        <w:pStyle w:val="Normlnmini"/>
        <w:spacing w:line="276" w:lineRule="auto"/>
        <w:jc w:val="both"/>
        <w:rPr>
          <w:b/>
          <w:sz w:val="20"/>
          <w:szCs w:val="20"/>
        </w:rPr>
      </w:pPr>
      <w:r w:rsidRPr="008E3A0E">
        <w:rPr>
          <w:b/>
          <w:bCs/>
          <w:sz w:val="20"/>
          <w:szCs w:val="20"/>
        </w:rPr>
        <w:t xml:space="preserve">V prvním pololetí letošního roku vznikl nárok na vracení přeplatku víc než 370 tisícům klientů VZP. Pojišťovna mezi ně rozdělí 273 milionů korun, což je </w:t>
      </w:r>
      <w:r w:rsidR="008E3A0E">
        <w:rPr>
          <w:b/>
          <w:bCs/>
          <w:sz w:val="20"/>
          <w:szCs w:val="20"/>
        </w:rPr>
        <w:t xml:space="preserve">téměř </w:t>
      </w:r>
      <w:r w:rsidRPr="008E3A0E">
        <w:rPr>
          <w:b/>
          <w:bCs/>
          <w:sz w:val="20"/>
          <w:szCs w:val="20"/>
        </w:rPr>
        <w:t xml:space="preserve">o pětinu vyšší částka než za stejné období loňského roku. </w:t>
      </w:r>
      <w:r w:rsidR="00511FA0" w:rsidRPr="008E3A0E">
        <w:rPr>
          <w:b/>
          <w:sz w:val="20"/>
          <w:szCs w:val="20"/>
        </w:rPr>
        <w:t xml:space="preserve">VZP eviduje nejvýraznější procentuální nárůst ve věkové kategorii pojištěnců do 18 let, a to ve výši 69 % v počtu klientů, kteří překročili ochranný limit. </w:t>
      </w:r>
      <w:r w:rsidR="008E3A0E">
        <w:rPr>
          <w:b/>
          <w:sz w:val="20"/>
          <w:szCs w:val="20"/>
        </w:rPr>
        <w:t>Počet klientů, kterým vznikl nárok na vrácení přeplatku</w:t>
      </w:r>
      <w:r w:rsidR="004E6477">
        <w:rPr>
          <w:b/>
          <w:sz w:val="20"/>
          <w:szCs w:val="20"/>
        </w:rPr>
        <w:t>,</w:t>
      </w:r>
      <w:r w:rsidR="008E3A0E">
        <w:rPr>
          <w:b/>
          <w:sz w:val="20"/>
          <w:szCs w:val="20"/>
        </w:rPr>
        <w:t xml:space="preserve"> ale vzrostl ve všech věkových kategoriích. </w:t>
      </w:r>
      <w:r w:rsidR="008E3A0E" w:rsidRPr="008E3A0E">
        <w:rPr>
          <w:b/>
          <w:sz w:val="20"/>
          <w:szCs w:val="20"/>
        </w:rPr>
        <w:t>Nejpočetnější skupinou jsou pojištěnci nad 70 let, kterým bude vyplaceno 86 % z celkové částky, tj. 234 milionů korun.</w:t>
      </w:r>
      <w:r w:rsidR="00293632" w:rsidRPr="008E3A0E">
        <w:rPr>
          <w:b/>
          <w:sz w:val="20"/>
          <w:szCs w:val="20"/>
        </w:rPr>
        <w:t xml:space="preserve"> </w:t>
      </w:r>
      <w:r w:rsidR="00511FA0" w:rsidRPr="008E3A0E">
        <w:rPr>
          <w:b/>
          <w:sz w:val="20"/>
          <w:szCs w:val="20"/>
        </w:rPr>
        <w:t xml:space="preserve">VZP přeplatky posílá automaticky, zároveň také doporučuje využít zaslání na bankovní účet. </w:t>
      </w:r>
    </w:p>
    <w:p w14:paraId="2D54DDA3" w14:textId="77777777" w:rsidR="00AB54D8" w:rsidRPr="000132A0" w:rsidRDefault="00AB54D8" w:rsidP="00AB54D8">
      <w:pPr>
        <w:pStyle w:val="Normlnmini"/>
        <w:spacing w:line="276" w:lineRule="auto"/>
        <w:rPr>
          <w:b/>
          <w:sz w:val="20"/>
          <w:szCs w:val="20"/>
        </w:rPr>
      </w:pPr>
    </w:p>
    <w:p w14:paraId="2360C405" w14:textId="36849C1F" w:rsidR="00E51B18" w:rsidRPr="00AB54D8" w:rsidRDefault="00E51B18" w:rsidP="00E51B18">
      <w:pPr>
        <w:pStyle w:val="Bezmezer"/>
        <w:spacing w:line="276" w:lineRule="auto"/>
        <w:jc w:val="center"/>
        <w:rPr>
          <w:rFonts w:ascii="Arial" w:hAnsi="Arial"/>
          <w:b/>
        </w:rPr>
      </w:pPr>
      <w:r w:rsidRPr="00AB54D8">
        <w:rPr>
          <w:rFonts w:ascii="Arial" w:hAnsi="Arial"/>
          <w:b/>
        </w:rPr>
        <w:t>R</w:t>
      </w:r>
      <w:bookmarkStart w:id="1" w:name="_Hlk80272878"/>
      <w:r w:rsidRPr="00AB54D8">
        <w:rPr>
          <w:rFonts w:ascii="Arial" w:hAnsi="Arial"/>
          <w:b/>
        </w:rPr>
        <w:t>ozdělení klientů VZP, kteří překročili ochranný limit dle věkových kategorií</w:t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162"/>
        <w:gridCol w:w="1164"/>
        <w:gridCol w:w="1164"/>
        <w:gridCol w:w="1414"/>
        <w:gridCol w:w="1414"/>
        <w:gridCol w:w="1414"/>
      </w:tblGrid>
      <w:tr w:rsidR="00E51B18" w:rsidRPr="00E51B18" w14:paraId="44F4DA6F" w14:textId="77777777" w:rsidTr="00C13019">
        <w:trPr>
          <w:trHeight w:val="310"/>
        </w:trPr>
        <w:tc>
          <w:tcPr>
            <w:tcW w:w="729" w:type="pct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33C1648C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Věková skupina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1D3B2E2C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Pojištěnci s přeplatkem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02670343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Vrácená částka v Kč</w:t>
            </w:r>
          </w:p>
        </w:tc>
      </w:tr>
      <w:tr w:rsidR="00E51B18" w:rsidRPr="00E51B18" w14:paraId="380644E6" w14:textId="77777777" w:rsidTr="00C13019">
        <w:trPr>
          <w:trHeight w:val="310"/>
        </w:trPr>
        <w:tc>
          <w:tcPr>
            <w:tcW w:w="729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06CBDE8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</w:p>
        </w:tc>
        <w:tc>
          <w:tcPr>
            <w:tcW w:w="1928" w:type="pct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66BE0EC6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1. pololetí</w:t>
            </w:r>
          </w:p>
        </w:tc>
        <w:tc>
          <w:tcPr>
            <w:tcW w:w="2343" w:type="pct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2449A331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1. pololetí</w:t>
            </w:r>
          </w:p>
        </w:tc>
      </w:tr>
      <w:tr w:rsidR="00E51B18" w:rsidRPr="00E51B18" w14:paraId="6A48C600" w14:textId="77777777" w:rsidTr="00E51B18">
        <w:trPr>
          <w:trHeight w:val="310"/>
        </w:trPr>
        <w:tc>
          <w:tcPr>
            <w:tcW w:w="729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8E0AF0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5B467BCB" w14:textId="1D2D7DA2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2021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3A07F616" w14:textId="75397203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2022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5E786D93" w14:textId="7B4C1C21" w:rsidR="00E51B18" w:rsidRPr="00AB54D8" w:rsidRDefault="00BC11FE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2023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4D109A76" w14:textId="2FE6613C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2021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11027697" w14:textId="342CF8EA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2022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268C2A8A" w14:textId="7918B8B2" w:rsidR="00E51B18" w:rsidRPr="00AB54D8" w:rsidRDefault="00BC11FE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2023</w:t>
            </w:r>
          </w:p>
        </w:tc>
      </w:tr>
      <w:tr w:rsidR="00E51B18" w:rsidRPr="00E51B18" w14:paraId="03914EBE" w14:textId="77777777" w:rsidTr="00E51B18">
        <w:trPr>
          <w:cantSplit/>
          <w:trHeight w:val="310"/>
        </w:trPr>
        <w:tc>
          <w:tcPr>
            <w:tcW w:w="72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04E0CDFD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0–18 let</w:t>
            </w:r>
          </w:p>
        </w:tc>
        <w:tc>
          <w:tcPr>
            <w:tcW w:w="642" w:type="pct"/>
            <w:tcBorders>
              <w:top w:val="nil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F4B0A2C" w14:textId="37D7C5D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929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CD21AB8" w14:textId="6BCDA08B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1 577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6357CB6D" w14:textId="1FB1D7E6" w:rsidR="00E51B18" w:rsidRPr="00AB54D8" w:rsidRDefault="00BC11FE" w:rsidP="00BC11FE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2 658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A23F27C" w14:textId="3C55F2BD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632 078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101A4961" w14:textId="484E0C4F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1 070 659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5B7DC8E8" w14:textId="246CE71F" w:rsidR="00E51B18" w:rsidRPr="00AB54D8" w:rsidRDefault="00BC11FE" w:rsidP="00BC11FE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2 037 165</w:t>
            </w:r>
          </w:p>
        </w:tc>
      </w:tr>
      <w:tr w:rsidR="00E51B18" w:rsidRPr="00E51B18" w14:paraId="531440BF" w14:textId="77777777" w:rsidTr="00E51B18">
        <w:trPr>
          <w:cantSplit/>
          <w:trHeight w:val="310"/>
        </w:trPr>
        <w:tc>
          <w:tcPr>
            <w:tcW w:w="72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7886760F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19–64 let</w:t>
            </w:r>
          </w:p>
        </w:tc>
        <w:tc>
          <w:tcPr>
            <w:tcW w:w="642" w:type="pct"/>
            <w:tcBorders>
              <w:top w:val="nil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96C0FA4" w14:textId="4A94F3B9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2 244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1A0D987" w14:textId="4F56EA88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2 561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2C5C671" w14:textId="1AD131FD" w:rsidR="00E51B18" w:rsidRPr="00AB54D8" w:rsidRDefault="00BC11FE" w:rsidP="00BC11FE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2 771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685AB1F1" w14:textId="753B0FC2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8 479 896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7A696308" w14:textId="75D8763E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9 247 363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8092D1B" w14:textId="18939C58" w:rsidR="00E51B18" w:rsidRPr="00AB54D8" w:rsidRDefault="00BC11FE" w:rsidP="00BC11FE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9 888 495</w:t>
            </w:r>
          </w:p>
        </w:tc>
      </w:tr>
      <w:tr w:rsidR="00E51B18" w:rsidRPr="00E51B18" w14:paraId="4E815D29" w14:textId="77777777" w:rsidTr="00E51B18">
        <w:trPr>
          <w:cantSplit/>
          <w:trHeight w:val="310"/>
        </w:trPr>
        <w:tc>
          <w:tcPr>
            <w:tcW w:w="72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4B04B45B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65–69 let</w:t>
            </w:r>
          </w:p>
        </w:tc>
        <w:tc>
          <w:tcPr>
            <w:tcW w:w="642" w:type="pct"/>
            <w:tcBorders>
              <w:top w:val="nil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E87E027" w14:textId="54703394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28 099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DAEEA86" w14:textId="6F779C3D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30 045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A67CC8F" w14:textId="2AB7094A" w:rsidR="00E51B18" w:rsidRPr="00AB54D8" w:rsidRDefault="00BC11FE" w:rsidP="00BC11FE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34 258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B1F2E10" w14:textId="0C3D109A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21 057 301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6370AC9" w14:textId="1DB2A2F6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23 386 644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8A574E0" w14:textId="7499D460" w:rsidR="00E51B18" w:rsidRPr="00AB54D8" w:rsidRDefault="00BC11FE" w:rsidP="00BC11FE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26 853 120</w:t>
            </w:r>
          </w:p>
        </w:tc>
      </w:tr>
      <w:tr w:rsidR="00E51B18" w:rsidRPr="00E51B18" w14:paraId="7F139D10" w14:textId="77777777" w:rsidTr="00E51B18">
        <w:trPr>
          <w:cantSplit/>
          <w:trHeight w:val="310"/>
        </w:trPr>
        <w:tc>
          <w:tcPr>
            <w:tcW w:w="72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53DFD90B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nad 70 let</w:t>
            </w:r>
          </w:p>
        </w:tc>
        <w:tc>
          <w:tcPr>
            <w:tcW w:w="642" w:type="pct"/>
            <w:tcBorders>
              <w:top w:val="nil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4D964B18" w14:textId="5AB1CA71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264 841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19CBB83B" w14:textId="71B03BAC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293 656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767611D" w14:textId="3BB609A0" w:rsidR="00E51B18" w:rsidRPr="00AB54D8" w:rsidRDefault="00BC11FE" w:rsidP="00BC11FE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330 644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1405596C" w14:textId="692287FD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171 994 247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C444D71" w14:textId="6CC7DFD5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195 393 684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35BAD49" w14:textId="4C09FF5E" w:rsidR="00E51B18" w:rsidRPr="00AB54D8" w:rsidRDefault="00BC11FE" w:rsidP="00BC11FE">
            <w:pPr>
              <w:spacing w:before="0" w:line="240" w:lineRule="auto"/>
              <w:jc w:val="center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color w:val="000000"/>
                <w:szCs w:val="20"/>
                <w:lang w:eastAsia="cs-CZ"/>
              </w:rPr>
              <w:t>234 000 286</w:t>
            </w:r>
          </w:p>
        </w:tc>
      </w:tr>
      <w:tr w:rsidR="00E51B18" w:rsidRPr="00E51B18" w14:paraId="51E43A93" w14:textId="77777777" w:rsidTr="00E51B18">
        <w:trPr>
          <w:cantSplit/>
          <w:trHeight w:val="310"/>
        </w:trPr>
        <w:tc>
          <w:tcPr>
            <w:tcW w:w="729" w:type="pc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2E7D5CF5" w14:textId="7777777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FFFFFF"/>
                <w:szCs w:val="20"/>
                <w:lang w:eastAsia="cs-CZ"/>
              </w:rPr>
              <w:t>CELKEM</w:t>
            </w:r>
          </w:p>
        </w:tc>
        <w:tc>
          <w:tcPr>
            <w:tcW w:w="642" w:type="pct"/>
            <w:tcBorders>
              <w:top w:val="nil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1A63FD72" w14:textId="10EE2189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000000"/>
                <w:szCs w:val="20"/>
                <w:lang w:eastAsia="cs-CZ"/>
              </w:rPr>
              <w:t>296 113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8FEBB1C" w14:textId="1A89358D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000000"/>
                <w:szCs w:val="20"/>
                <w:lang w:eastAsia="cs-CZ"/>
              </w:rPr>
              <w:t>327 839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F5CD998" w14:textId="3C54F0E7" w:rsidR="00E51B18" w:rsidRPr="00AB54D8" w:rsidRDefault="00BC11FE" w:rsidP="00BC11FE">
            <w:pPr>
              <w:spacing w:before="0" w:line="240" w:lineRule="auto"/>
              <w:jc w:val="center"/>
              <w:rPr>
                <w:color w:val="000000"/>
                <w:szCs w:val="20"/>
              </w:rPr>
            </w:pPr>
            <w:r w:rsidRPr="00AB54D8">
              <w:rPr>
                <w:rFonts w:eastAsia="Times New Roman"/>
                <w:b/>
                <w:color w:val="000000"/>
                <w:szCs w:val="20"/>
                <w:lang w:eastAsia="cs-CZ"/>
              </w:rPr>
              <w:t>370 331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18146D72" w14:textId="4AE2CFEF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bCs/>
                <w:color w:val="000000"/>
                <w:szCs w:val="20"/>
                <w:lang w:eastAsia="cs-CZ"/>
              </w:rPr>
              <w:t>202 163 522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62B75DFE" w14:textId="7A4FF0D7" w:rsidR="00E51B18" w:rsidRPr="00AB54D8" w:rsidRDefault="00E51B18" w:rsidP="00E51B1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cs-CZ"/>
              </w:rPr>
            </w:pPr>
            <w:r w:rsidRPr="00AB54D8">
              <w:rPr>
                <w:rFonts w:eastAsia="Times New Roman"/>
                <w:b/>
                <w:color w:val="000000"/>
                <w:szCs w:val="20"/>
                <w:lang w:eastAsia="cs-CZ"/>
              </w:rPr>
              <w:t>229 098 350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F9DC03A" w14:textId="59737F5C" w:rsidR="00E51B18" w:rsidRPr="00AB54D8" w:rsidRDefault="00BC11FE" w:rsidP="00BC11FE">
            <w:pPr>
              <w:spacing w:before="0" w:line="240" w:lineRule="auto"/>
              <w:jc w:val="center"/>
              <w:rPr>
                <w:color w:val="000000"/>
                <w:szCs w:val="20"/>
              </w:rPr>
            </w:pPr>
            <w:r w:rsidRPr="00AB54D8">
              <w:rPr>
                <w:rFonts w:eastAsia="Times New Roman"/>
                <w:b/>
                <w:color w:val="000000"/>
                <w:szCs w:val="20"/>
                <w:lang w:eastAsia="cs-CZ"/>
              </w:rPr>
              <w:t>272 779 066</w:t>
            </w:r>
          </w:p>
        </w:tc>
      </w:tr>
    </w:tbl>
    <w:p w14:paraId="18661560" w14:textId="2BC784AB" w:rsidR="00E51B18" w:rsidRDefault="00E51B18" w:rsidP="00E51B18">
      <w:pPr>
        <w:pStyle w:val="Normlnmini"/>
        <w:spacing w:line="276" w:lineRule="auto"/>
        <w:rPr>
          <w:sz w:val="20"/>
          <w:szCs w:val="20"/>
        </w:rPr>
      </w:pPr>
    </w:p>
    <w:p w14:paraId="20394E6B" w14:textId="68CF564D" w:rsidR="00AB54D8" w:rsidRPr="00774342" w:rsidRDefault="000132A0" w:rsidP="00E51B18">
      <w:pPr>
        <w:pStyle w:val="Normlnmini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1E78511" w14:textId="10318FDB" w:rsidR="0072778F" w:rsidRPr="00774342" w:rsidRDefault="0072778F" w:rsidP="0072778F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  <w:r w:rsidRPr="00774342">
        <w:rPr>
          <w:rFonts w:ascii="Arial" w:hAnsi="Arial"/>
          <w:b/>
          <w:szCs w:val="20"/>
        </w:rPr>
        <w:t>Výplata přeplatků</w:t>
      </w:r>
    </w:p>
    <w:p w14:paraId="4E5FC920" w14:textId="56A6F73C" w:rsidR="0072778F" w:rsidRPr="00774342" w:rsidRDefault="0072778F" w:rsidP="0072778F">
      <w:pPr>
        <w:spacing w:before="0" w:line="276" w:lineRule="auto"/>
        <w:jc w:val="both"/>
        <w:rPr>
          <w:color w:val="212121"/>
          <w:szCs w:val="20"/>
        </w:rPr>
      </w:pPr>
      <w:bookmarkStart w:id="2" w:name="_Hlk127283204"/>
      <w:bookmarkStart w:id="3" w:name="_Hlk124234298"/>
      <w:r w:rsidRPr="00774342">
        <w:rPr>
          <w:b/>
          <w:bCs/>
          <w:color w:val="212121"/>
          <w:szCs w:val="20"/>
        </w:rPr>
        <w:t>V</w:t>
      </w:r>
      <w:r w:rsidRPr="00774342">
        <w:rPr>
          <w:b/>
          <w:color w:val="212121"/>
          <w:szCs w:val="20"/>
        </w:rPr>
        <w:t>ýše minimálně vyplácené částky překračující ochranný limit je stanovena na 200 </w:t>
      </w:r>
      <w:r w:rsidRPr="00774342">
        <w:rPr>
          <w:b/>
          <w:bCs/>
          <w:color w:val="212121"/>
          <w:szCs w:val="20"/>
        </w:rPr>
        <w:t xml:space="preserve">Kč. </w:t>
      </w:r>
      <w:r w:rsidRPr="00774342">
        <w:rPr>
          <w:bCs/>
          <w:color w:val="212121"/>
          <w:szCs w:val="20"/>
        </w:rPr>
        <w:t xml:space="preserve">Tzn. zdravotní pojišťovny mohou klientovi poslat částku překračující ochranný limit ve chvíli, kdy součet nevyplacených přeplatků překročí hranici 200 korun. </w:t>
      </w:r>
      <w:bookmarkEnd w:id="2"/>
      <w:r w:rsidRPr="00774342">
        <w:rPr>
          <w:b/>
          <w:color w:val="212121"/>
          <w:szCs w:val="20"/>
        </w:rPr>
        <w:t>Nevyplacené přeplatky do 200 Kč se přesouvají nejen mezi jednotlivými čtvrtletími roku</w:t>
      </w:r>
      <w:r w:rsidRPr="00774342">
        <w:rPr>
          <w:color w:val="212121"/>
          <w:szCs w:val="20"/>
        </w:rPr>
        <w:t>, za nějž je limit sledován,</w:t>
      </w:r>
      <w:r w:rsidRPr="00774342">
        <w:rPr>
          <w:b/>
          <w:color w:val="212121"/>
          <w:szCs w:val="20"/>
        </w:rPr>
        <w:t xml:space="preserve"> ale i mezi roky.</w:t>
      </w:r>
      <w:r w:rsidRPr="00774342">
        <w:rPr>
          <w:color w:val="212121"/>
          <w:szCs w:val="20"/>
        </w:rPr>
        <w:t xml:space="preserve"> Částka, která v součtu přesáhne stanovený limit 200 Kč, je pojištěnci vrácena nejpozději do 60 dní od uplynutí kalendářního čtvrtletí, ve kterém byl limit překročen.</w:t>
      </w:r>
    </w:p>
    <w:bookmarkEnd w:id="3"/>
    <w:p w14:paraId="323F677C" w14:textId="77777777" w:rsidR="0072778F" w:rsidRPr="00774342" w:rsidRDefault="0072778F" w:rsidP="0072778F">
      <w:pPr>
        <w:spacing w:before="0" w:line="276" w:lineRule="auto"/>
        <w:jc w:val="both"/>
        <w:rPr>
          <w:color w:val="212121"/>
          <w:szCs w:val="20"/>
        </w:rPr>
      </w:pPr>
    </w:p>
    <w:p w14:paraId="4571BFD0" w14:textId="77777777" w:rsidR="0072778F" w:rsidRPr="00774342" w:rsidRDefault="0072778F" w:rsidP="0072778F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  <w:r w:rsidRPr="00774342">
        <w:rPr>
          <w:rFonts w:ascii="Arial" w:hAnsi="Arial"/>
          <w:b/>
          <w:szCs w:val="20"/>
        </w:rPr>
        <w:t>Výše ročního limitu</w:t>
      </w:r>
    </w:p>
    <w:p w14:paraId="37D863A5" w14:textId="41F46EC0" w:rsidR="0072778F" w:rsidRPr="00774342" w:rsidRDefault="0072778F" w:rsidP="0072778F">
      <w:pPr>
        <w:pStyle w:val="Bezmezer"/>
        <w:spacing w:line="276" w:lineRule="auto"/>
        <w:jc w:val="both"/>
        <w:rPr>
          <w:rFonts w:ascii="Arial" w:hAnsi="Arial"/>
          <w:szCs w:val="20"/>
        </w:rPr>
      </w:pPr>
      <w:r w:rsidRPr="00774342">
        <w:rPr>
          <w:rFonts w:ascii="Arial" w:hAnsi="Arial"/>
          <w:b/>
          <w:szCs w:val="20"/>
        </w:rPr>
        <w:t>Roční limit na započitatelné doplatky</w:t>
      </w:r>
      <w:r w:rsidRPr="00774342">
        <w:rPr>
          <w:rFonts w:ascii="Arial" w:hAnsi="Arial"/>
          <w:szCs w:val="20"/>
        </w:rPr>
        <w:t xml:space="preserve"> je stanoven následovně:</w:t>
      </w:r>
    </w:p>
    <w:p w14:paraId="03738145" w14:textId="77777777" w:rsidR="0072778F" w:rsidRPr="00774342" w:rsidRDefault="0072778F" w:rsidP="0072778F">
      <w:pPr>
        <w:pStyle w:val="Odstavecseseznamem"/>
        <w:numPr>
          <w:ilvl w:val="0"/>
          <w:numId w:val="5"/>
        </w:numPr>
        <w:spacing w:before="0" w:line="276" w:lineRule="auto"/>
        <w:jc w:val="both"/>
        <w:rPr>
          <w:b/>
          <w:szCs w:val="20"/>
        </w:rPr>
      </w:pPr>
      <w:r w:rsidRPr="00774342">
        <w:rPr>
          <w:b/>
          <w:szCs w:val="20"/>
        </w:rPr>
        <w:t>u dětí mladších 18 let</w:t>
      </w:r>
      <w:r w:rsidRPr="00774342">
        <w:rPr>
          <w:szCs w:val="20"/>
        </w:rPr>
        <w:t xml:space="preserve"> – </w:t>
      </w:r>
      <w:r w:rsidRPr="00774342">
        <w:rPr>
          <w:b/>
          <w:szCs w:val="20"/>
        </w:rPr>
        <w:t>1 000 Kč</w:t>
      </w:r>
    </w:p>
    <w:p w14:paraId="0132DCC2" w14:textId="77777777" w:rsidR="0072778F" w:rsidRPr="00774342" w:rsidRDefault="0072778F" w:rsidP="0072778F">
      <w:pPr>
        <w:pStyle w:val="Odstavecseseznamem"/>
        <w:numPr>
          <w:ilvl w:val="0"/>
          <w:numId w:val="5"/>
        </w:numPr>
        <w:spacing w:before="0" w:line="276" w:lineRule="auto"/>
        <w:jc w:val="both"/>
        <w:rPr>
          <w:b/>
          <w:szCs w:val="20"/>
        </w:rPr>
      </w:pPr>
      <w:r w:rsidRPr="00774342">
        <w:rPr>
          <w:b/>
          <w:szCs w:val="20"/>
        </w:rPr>
        <w:t>u dospělého člověka</w:t>
      </w:r>
      <w:r w:rsidRPr="00774342">
        <w:rPr>
          <w:szCs w:val="20"/>
        </w:rPr>
        <w:t xml:space="preserve"> – </w:t>
      </w:r>
      <w:r w:rsidRPr="00774342">
        <w:rPr>
          <w:b/>
          <w:szCs w:val="20"/>
        </w:rPr>
        <w:t>5 000 Kč</w:t>
      </w:r>
    </w:p>
    <w:p w14:paraId="174BA3CB" w14:textId="77777777" w:rsidR="0072778F" w:rsidRPr="00774342" w:rsidRDefault="0072778F" w:rsidP="0072778F">
      <w:pPr>
        <w:pStyle w:val="Odstavecseseznamem"/>
        <w:numPr>
          <w:ilvl w:val="0"/>
          <w:numId w:val="5"/>
        </w:numPr>
        <w:spacing w:before="0" w:line="276" w:lineRule="auto"/>
        <w:jc w:val="both"/>
        <w:rPr>
          <w:szCs w:val="20"/>
        </w:rPr>
      </w:pPr>
      <w:r w:rsidRPr="00774342">
        <w:rPr>
          <w:b/>
          <w:szCs w:val="20"/>
        </w:rPr>
        <w:t>u pojištěnců nad 65 let</w:t>
      </w:r>
      <w:r w:rsidRPr="00774342">
        <w:rPr>
          <w:szCs w:val="20"/>
        </w:rPr>
        <w:t xml:space="preserve"> – </w:t>
      </w:r>
      <w:r w:rsidRPr="00774342">
        <w:rPr>
          <w:b/>
          <w:szCs w:val="20"/>
        </w:rPr>
        <w:t>1 000 Kč</w:t>
      </w:r>
    </w:p>
    <w:p w14:paraId="4BD767C1" w14:textId="77777777" w:rsidR="0072778F" w:rsidRPr="00774342" w:rsidRDefault="0072778F" w:rsidP="0072778F">
      <w:pPr>
        <w:pStyle w:val="Odstavecseseznamem"/>
        <w:numPr>
          <w:ilvl w:val="0"/>
          <w:numId w:val="5"/>
        </w:numPr>
        <w:spacing w:before="0" w:line="276" w:lineRule="auto"/>
        <w:jc w:val="both"/>
        <w:rPr>
          <w:szCs w:val="20"/>
        </w:rPr>
      </w:pPr>
      <w:r w:rsidRPr="00774342">
        <w:rPr>
          <w:b/>
          <w:szCs w:val="20"/>
        </w:rPr>
        <w:t>u pojištěnců nad 70 let a invalidních pojištěnců</w:t>
      </w:r>
      <w:r w:rsidRPr="00774342">
        <w:rPr>
          <w:szCs w:val="20"/>
        </w:rPr>
        <w:t xml:space="preserve">, kteří svou invaliditu doložili zdravotní pojišťovně – </w:t>
      </w:r>
      <w:r w:rsidRPr="00774342">
        <w:rPr>
          <w:b/>
          <w:szCs w:val="20"/>
        </w:rPr>
        <w:t>500 Kč</w:t>
      </w:r>
    </w:p>
    <w:p w14:paraId="21B4479F" w14:textId="0F9BEB20" w:rsidR="0072778F" w:rsidRPr="00774342" w:rsidRDefault="0072778F" w:rsidP="0072778F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7A02C764" w14:textId="77777777" w:rsidR="00774342" w:rsidRPr="00774342" w:rsidRDefault="00774342" w:rsidP="00774342">
      <w:pPr>
        <w:spacing w:before="0" w:line="276" w:lineRule="auto"/>
        <w:rPr>
          <w:color w:val="212121"/>
          <w:szCs w:val="20"/>
        </w:rPr>
      </w:pPr>
      <w:r w:rsidRPr="00774342">
        <w:rPr>
          <w:color w:val="212121"/>
          <w:szCs w:val="20"/>
        </w:rPr>
        <w:t>Pravidla pro vyplacení přeplatku a výši ročních limitů stanovuje zákon o veřejném zdravotním pojištění (č. 48/1997 Sb.).</w:t>
      </w:r>
    </w:p>
    <w:p w14:paraId="1CA8B035" w14:textId="77777777" w:rsidR="000132A0" w:rsidRDefault="000132A0" w:rsidP="0072778F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  <w:bookmarkStart w:id="4" w:name="_Hlk127283559"/>
    </w:p>
    <w:p w14:paraId="1C2C5B28" w14:textId="752EBA29" w:rsidR="0072778F" w:rsidRPr="000132A0" w:rsidRDefault="0072778F" w:rsidP="0072778F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  <w:r w:rsidRPr="000132A0">
        <w:rPr>
          <w:rFonts w:ascii="Arial" w:hAnsi="Arial"/>
          <w:b/>
          <w:szCs w:val="20"/>
        </w:rPr>
        <w:t>Co se započítává do ochranného limitu?</w:t>
      </w:r>
    </w:p>
    <w:p w14:paraId="6CB1D071" w14:textId="77777777" w:rsidR="0072778F" w:rsidRPr="000132A0" w:rsidRDefault="0072778F" w:rsidP="0072778F">
      <w:pPr>
        <w:pStyle w:val="Bezmezer"/>
        <w:spacing w:line="276" w:lineRule="auto"/>
        <w:jc w:val="both"/>
        <w:rPr>
          <w:rFonts w:ascii="Arial" w:hAnsi="Arial"/>
          <w:szCs w:val="20"/>
        </w:rPr>
      </w:pPr>
      <w:bookmarkStart w:id="5" w:name="_Hlk127283547"/>
      <w:bookmarkEnd w:id="4"/>
      <w:r w:rsidRPr="000132A0">
        <w:rPr>
          <w:rFonts w:ascii="Arial" w:hAnsi="Arial"/>
          <w:color w:val="212121"/>
          <w:szCs w:val="20"/>
        </w:rPr>
        <w:t>Do limitu se</w:t>
      </w:r>
      <w:r w:rsidRPr="000132A0">
        <w:rPr>
          <w:rFonts w:ascii="Arial" w:hAnsi="Arial"/>
          <w:b/>
          <w:color w:val="212121"/>
          <w:szCs w:val="20"/>
        </w:rPr>
        <w:t xml:space="preserve"> započítávají pouze částky</w:t>
      </w:r>
      <w:r w:rsidRPr="000132A0">
        <w:rPr>
          <w:rFonts w:ascii="Arial" w:hAnsi="Arial"/>
          <w:color w:val="212121"/>
          <w:szCs w:val="20"/>
        </w:rPr>
        <w:t xml:space="preserve"> </w:t>
      </w:r>
      <w:hyperlink r:id="rId11" w:history="1">
        <w:r w:rsidRPr="000132A0">
          <w:rPr>
            <w:rStyle w:val="Hypertextovodkaz"/>
            <w:rFonts w:ascii="Arial" w:hAnsi="Arial"/>
            <w:szCs w:val="20"/>
          </w:rPr>
          <w:t>započitatelných doplatků</w:t>
        </w:r>
      </w:hyperlink>
      <w:r w:rsidRPr="000132A0">
        <w:rPr>
          <w:rFonts w:ascii="Arial" w:hAnsi="Arial"/>
          <w:color w:val="212121"/>
          <w:szCs w:val="20"/>
        </w:rPr>
        <w:t xml:space="preserve"> </w:t>
      </w:r>
      <w:r w:rsidRPr="000132A0">
        <w:rPr>
          <w:rFonts w:ascii="Arial" w:hAnsi="Arial"/>
          <w:b/>
          <w:color w:val="212121"/>
          <w:szCs w:val="20"/>
        </w:rPr>
        <w:t>za léčivé přípravky a potraviny pro zvláštní lékařské účely</w:t>
      </w:r>
      <w:r w:rsidRPr="000132A0">
        <w:rPr>
          <w:rFonts w:ascii="Arial" w:hAnsi="Arial"/>
          <w:color w:val="212121"/>
          <w:szCs w:val="20"/>
        </w:rPr>
        <w:t xml:space="preserve">. Nezapočítávají se tedy veškeré pojištěncem uhrazené doplatky a také nejsou uznávány úhrady za zdravotnické prostředky. </w:t>
      </w:r>
      <w:bookmarkStart w:id="6" w:name="_Hlk127283591"/>
      <w:r w:rsidRPr="000132A0">
        <w:rPr>
          <w:rFonts w:ascii="Arial" w:hAnsi="Arial"/>
          <w:color w:val="212121"/>
          <w:szCs w:val="20"/>
        </w:rPr>
        <w:t xml:space="preserve">Vše, co pojištěnci zaplatí za </w:t>
      </w:r>
      <w:hyperlink r:id="rId12" w:history="1">
        <w:r w:rsidRPr="000132A0">
          <w:rPr>
            <w:rFonts w:ascii="Arial" w:hAnsi="Arial"/>
            <w:color w:val="212121"/>
            <w:szCs w:val="20"/>
          </w:rPr>
          <w:t>doplatky na léky</w:t>
        </w:r>
      </w:hyperlink>
      <w:r w:rsidRPr="000132A0">
        <w:rPr>
          <w:rFonts w:ascii="Arial" w:hAnsi="Arial"/>
          <w:color w:val="212121"/>
          <w:szCs w:val="20"/>
        </w:rPr>
        <w:t xml:space="preserve"> nad uvedený limit, jim VZP vrací</w:t>
      </w:r>
      <w:bookmarkEnd w:id="6"/>
      <w:r w:rsidRPr="000132A0">
        <w:rPr>
          <w:rFonts w:ascii="Arial" w:hAnsi="Arial"/>
          <w:color w:val="212121"/>
          <w:szCs w:val="20"/>
        </w:rPr>
        <w:t>.</w:t>
      </w:r>
    </w:p>
    <w:bookmarkEnd w:id="5"/>
    <w:p w14:paraId="7C9660C1" w14:textId="77777777" w:rsidR="0072778F" w:rsidRPr="000132A0" w:rsidRDefault="0072778F" w:rsidP="0072778F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300AC6EC" w14:textId="77777777" w:rsidR="0072778F" w:rsidRPr="000132A0" w:rsidRDefault="0072778F" w:rsidP="0072778F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  <w:r w:rsidRPr="000132A0">
        <w:rPr>
          <w:rFonts w:ascii="Arial" w:hAnsi="Arial"/>
          <w:b/>
          <w:szCs w:val="20"/>
        </w:rPr>
        <w:t>Musí se dokládat nárok na snížený limit?</w:t>
      </w:r>
    </w:p>
    <w:p w14:paraId="287E1A7C" w14:textId="1E0FA7DE" w:rsidR="0072778F" w:rsidRPr="000132A0" w:rsidRDefault="0072778F" w:rsidP="0072778F">
      <w:pPr>
        <w:pStyle w:val="Bezmezer"/>
        <w:spacing w:line="276" w:lineRule="auto"/>
        <w:jc w:val="both"/>
        <w:rPr>
          <w:rFonts w:ascii="Arial" w:hAnsi="Arial"/>
          <w:szCs w:val="20"/>
        </w:rPr>
      </w:pPr>
      <w:r w:rsidRPr="000132A0">
        <w:rPr>
          <w:rFonts w:ascii="Arial" w:hAnsi="Arial"/>
          <w:b/>
          <w:szCs w:val="20"/>
        </w:rPr>
        <w:t xml:space="preserve">Pojištěnci zařazení do II. nebo III. stupně invalidity musí </w:t>
      </w:r>
      <w:r w:rsidRPr="000132A0">
        <w:rPr>
          <w:rFonts w:ascii="Arial" w:hAnsi="Arial"/>
          <w:szCs w:val="20"/>
        </w:rPr>
        <w:t>své zdravotní pojišťovně</w:t>
      </w:r>
      <w:r w:rsidRPr="000132A0">
        <w:rPr>
          <w:rFonts w:ascii="Arial" w:hAnsi="Arial"/>
          <w:b/>
          <w:szCs w:val="20"/>
        </w:rPr>
        <w:t xml:space="preserve"> sami nahlásit a</w:t>
      </w:r>
      <w:r w:rsidR="00774342" w:rsidRPr="000132A0">
        <w:rPr>
          <w:rFonts w:ascii="Arial" w:hAnsi="Arial"/>
          <w:b/>
          <w:szCs w:val="20"/>
        </w:rPr>
        <w:t> </w:t>
      </w:r>
      <w:r w:rsidRPr="000132A0">
        <w:rPr>
          <w:rFonts w:ascii="Arial" w:hAnsi="Arial"/>
          <w:b/>
          <w:szCs w:val="20"/>
        </w:rPr>
        <w:t>doložit kopií rozhodnutí o invalidním důchodu</w:t>
      </w:r>
      <w:r w:rsidRPr="000132A0">
        <w:rPr>
          <w:rFonts w:ascii="Arial" w:hAnsi="Arial"/>
          <w:szCs w:val="20"/>
        </w:rPr>
        <w:t xml:space="preserve">, případně kopií posudku o posouzení zdravotního stavu. V opačném případě pojišťovna nemůže ochranný limit snížit a na pojištěnce se stále vztahuje jen zákonný limit podle věku. Informace ke sníženému ochrannému limitu za léky u invalidních pojištěnců jsou zveřejněné na </w:t>
      </w:r>
      <w:hyperlink r:id="rId13" w:history="1">
        <w:r w:rsidRPr="000132A0">
          <w:rPr>
            <w:rStyle w:val="Hypertextovodkaz"/>
            <w:rFonts w:ascii="Arial" w:hAnsi="Arial"/>
            <w:szCs w:val="20"/>
          </w:rPr>
          <w:t>samostatné webové stránce VZP</w:t>
        </w:r>
      </w:hyperlink>
      <w:r w:rsidRPr="000132A0">
        <w:rPr>
          <w:rFonts w:ascii="Arial" w:hAnsi="Arial"/>
          <w:szCs w:val="20"/>
        </w:rPr>
        <w:t>.</w:t>
      </w:r>
    </w:p>
    <w:p w14:paraId="08CADD38" w14:textId="77777777" w:rsidR="0072778F" w:rsidRPr="000132A0" w:rsidRDefault="0072778F" w:rsidP="0072778F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69955C79" w14:textId="77777777" w:rsidR="0072778F" w:rsidRPr="000132A0" w:rsidRDefault="0072778F" w:rsidP="0072778F">
      <w:pPr>
        <w:spacing w:before="0" w:line="276" w:lineRule="auto"/>
        <w:jc w:val="both"/>
        <w:rPr>
          <w:b/>
          <w:color w:val="212121"/>
          <w:szCs w:val="20"/>
        </w:rPr>
      </w:pPr>
      <w:bookmarkStart w:id="7" w:name="_Hlk95809271"/>
      <w:r w:rsidRPr="000132A0">
        <w:rPr>
          <w:b/>
          <w:color w:val="212121"/>
          <w:szCs w:val="20"/>
        </w:rPr>
        <w:t>Musí pojištěnec o zaslání přeplatku žádat?</w:t>
      </w:r>
    </w:p>
    <w:p w14:paraId="66C29553" w14:textId="139C301D" w:rsidR="0072778F" w:rsidRPr="000132A0" w:rsidRDefault="0072778F" w:rsidP="00774342">
      <w:pPr>
        <w:spacing w:before="0" w:line="276" w:lineRule="auto"/>
        <w:jc w:val="both"/>
        <w:rPr>
          <w:szCs w:val="20"/>
        </w:rPr>
      </w:pPr>
      <w:r w:rsidRPr="000132A0">
        <w:rPr>
          <w:b/>
          <w:color w:val="212121"/>
          <w:szCs w:val="20"/>
        </w:rPr>
        <w:t>Pojištěnec o vrácení přeplatku žádat nemusí – zdravotní pojišťovna překročení ochranného limitu sleduje</w:t>
      </w:r>
      <w:r w:rsidRPr="000132A0">
        <w:rPr>
          <w:color w:val="212121"/>
          <w:szCs w:val="20"/>
        </w:rPr>
        <w:t>. Částka je pojištěnci zaslána buď na jeho bankovní účet, anebo poštovní poukázkou na adresu evidovanou u VZP.</w:t>
      </w:r>
      <w:r w:rsidRPr="000132A0">
        <w:rPr>
          <w:szCs w:val="20"/>
        </w:rPr>
        <w:t xml:space="preserve"> Číslo bankovního účtu mohou klienti nahlásit prostřednictvím </w:t>
      </w:r>
      <w:hyperlink r:id="rId14" w:history="1">
        <w:r w:rsidRPr="000132A0">
          <w:rPr>
            <w:rStyle w:val="Hypertextovodkaz"/>
            <w:szCs w:val="20"/>
          </w:rPr>
          <w:t>webového formuláře</w:t>
        </w:r>
      </w:hyperlink>
      <w:r w:rsidRPr="000132A0">
        <w:rPr>
          <w:szCs w:val="20"/>
        </w:rPr>
        <w:t xml:space="preserve">, osobně na kterémkoli </w:t>
      </w:r>
      <w:hyperlink r:id="rId15" w:history="1">
        <w:r w:rsidRPr="000132A0">
          <w:rPr>
            <w:rStyle w:val="Hypertextovodkaz"/>
            <w:szCs w:val="20"/>
          </w:rPr>
          <w:t>klientském pracovišti VZP</w:t>
        </w:r>
      </w:hyperlink>
      <w:r w:rsidRPr="000132A0">
        <w:rPr>
          <w:szCs w:val="20"/>
        </w:rPr>
        <w:t xml:space="preserve">, elektronicky e-mailem na adresu </w:t>
      </w:r>
      <w:hyperlink r:id="rId16" w:history="1">
        <w:r w:rsidRPr="000132A0">
          <w:rPr>
            <w:rStyle w:val="Hypertextovodkaz"/>
            <w:szCs w:val="20"/>
          </w:rPr>
          <w:t>podatelna@vzp.cz</w:t>
        </w:r>
      </w:hyperlink>
      <w:r w:rsidRPr="000132A0">
        <w:rPr>
          <w:szCs w:val="20"/>
        </w:rPr>
        <w:t xml:space="preserve">, formou obecného podání přes aplikaci </w:t>
      </w:r>
      <w:hyperlink r:id="rId17" w:history="1">
        <w:r w:rsidRPr="000132A0">
          <w:rPr>
            <w:rStyle w:val="Hypertextovodkaz"/>
            <w:szCs w:val="20"/>
          </w:rPr>
          <w:t>Moje VZP</w:t>
        </w:r>
      </w:hyperlink>
      <w:r w:rsidRPr="000132A0">
        <w:rPr>
          <w:szCs w:val="20"/>
        </w:rPr>
        <w:t>/</w:t>
      </w:r>
      <w:hyperlink r:id="rId18" w:history="1">
        <w:r w:rsidRPr="000132A0">
          <w:rPr>
            <w:rStyle w:val="Hypertextovodkaz"/>
            <w:szCs w:val="20"/>
          </w:rPr>
          <w:t>VZP Point</w:t>
        </w:r>
      </w:hyperlink>
      <w:r w:rsidRPr="000132A0">
        <w:rPr>
          <w:szCs w:val="20"/>
        </w:rPr>
        <w:t xml:space="preserve"> nebo prostřednictvím datové schránky (i48ae3q). </w:t>
      </w:r>
      <w:r w:rsidRPr="000132A0">
        <w:rPr>
          <w:b/>
          <w:szCs w:val="20"/>
        </w:rPr>
        <w:t>VZP klientům doporučuje využít možnosti zaslání přeplatků převodem na bankovní účet</w:t>
      </w:r>
      <w:r w:rsidRPr="000132A0">
        <w:rPr>
          <w:szCs w:val="20"/>
        </w:rPr>
        <w:t>.</w:t>
      </w:r>
      <w:bookmarkEnd w:id="7"/>
    </w:p>
    <w:p w14:paraId="44A183E3" w14:textId="034D637A" w:rsidR="00E51B18" w:rsidRPr="000132A0" w:rsidRDefault="00E51B18" w:rsidP="00E51B18">
      <w:pPr>
        <w:pStyle w:val="Normlnmini"/>
        <w:spacing w:line="276" w:lineRule="auto"/>
        <w:rPr>
          <w:bCs/>
          <w:sz w:val="20"/>
          <w:szCs w:val="20"/>
        </w:rPr>
      </w:pPr>
    </w:p>
    <w:p w14:paraId="60A8AF05" w14:textId="77777777" w:rsidR="00E51B18" w:rsidRPr="000132A0" w:rsidRDefault="00E51B18" w:rsidP="00E51B18">
      <w:pPr>
        <w:pStyle w:val="Bezmezer"/>
        <w:spacing w:line="276" w:lineRule="auto"/>
        <w:jc w:val="center"/>
        <w:rPr>
          <w:rFonts w:ascii="Arial" w:hAnsi="Arial"/>
          <w:b/>
          <w:szCs w:val="20"/>
        </w:rPr>
      </w:pPr>
      <w:bookmarkStart w:id="8" w:name="_Hlk80272889"/>
      <w:r w:rsidRPr="000132A0">
        <w:rPr>
          <w:rFonts w:ascii="Arial" w:hAnsi="Arial"/>
          <w:b/>
          <w:szCs w:val="20"/>
        </w:rPr>
        <w:t>Srovnání vrácených přeplatků klientům VZP ČR podle krajů</w:t>
      </w:r>
      <w:bookmarkEnd w:id="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39"/>
        <w:gridCol w:w="1040"/>
        <w:gridCol w:w="1040"/>
        <w:gridCol w:w="1414"/>
        <w:gridCol w:w="1414"/>
        <w:gridCol w:w="1414"/>
      </w:tblGrid>
      <w:tr w:rsidR="00E51B18" w:rsidRPr="00E51B18" w14:paraId="48FF05DD" w14:textId="77777777" w:rsidTr="00C13019">
        <w:trPr>
          <w:trHeight w:val="315"/>
        </w:trPr>
        <w:tc>
          <w:tcPr>
            <w:tcW w:w="939" w:type="pct"/>
            <w:vMerge w:val="restart"/>
            <w:tcBorders>
              <w:left w:val="nil"/>
              <w:bottom w:val="single" w:sz="8" w:space="0" w:color="FFFFFF"/>
              <w:right w:val="nil"/>
            </w:tcBorders>
            <w:shd w:val="clear" w:color="000000" w:fill="C0504D"/>
            <w:vAlign w:val="center"/>
            <w:hideMark/>
          </w:tcPr>
          <w:p w14:paraId="085D46FA" w14:textId="77777777" w:rsidR="00E51B18" w:rsidRPr="000132A0" w:rsidRDefault="00E51B18" w:rsidP="00E51B1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Kraj</w:t>
            </w:r>
          </w:p>
        </w:tc>
        <w:tc>
          <w:tcPr>
            <w:tcW w:w="1721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7D78AC00" w14:textId="77777777" w:rsidR="00E51B18" w:rsidRPr="000132A0" w:rsidRDefault="00E51B18" w:rsidP="00E51B1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Pojištěnci s přeplatkem</w:t>
            </w:r>
          </w:p>
        </w:tc>
        <w:tc>
          <w:tcPr>
            <w:tcW w:w="2341" w:type="pct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196B6B45" w14:textId="77777777" w:rsidR="00E51B18" w:rsidRPr="000132A0" w:rsidRDefault="00E51B18" w:rsidP="00E51B1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Vrácená částka v Kč</w:t>
            </w:r>
          </w:p>
        </w:tc>
      </w:tr>
      <w:tr w:rsidR="00E51B18" w:rsidRPr="00E51B18" w14:paraId="10C8C788" w14:textId="77777777" w:rsidTr="00C13019">
        <w:trPr>
          <w:trHeight w:val="315"/>
        </w:trPr>
        <w:tc>
          <w:tcPr>
            <w:tcW w:w="939" w:type="pct"/>
            <w:vMerge/>
            <w:tcBorders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14:paraId="7A90DA48" w14:textId="77777777" w:rsidR="00E51B18" w:rsidRPr="000132A0" w:rsidRDefault="00E51B18" w:rsidP="00E51B18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</w:p>
        </w:tc>
        <w:tc>
          <w:tcPr>
            <w:tcW w:w="172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2212E4AF" w14:textId="77777777" w:rsidR="00E51B18" w:rsidRPr="000132A0" w:rsidRDefault="00E51B18" w:rsidP="00E51B1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1. pololetí</w:t>
            </w:r>
          </w:p>
        </w:tc>
        <w:tc>
          <w:tcPr>
            <w:tcW w:w="2341" w:type="pct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  <w:hideMark/>
          </w:tcPr>
          <w:p w14:paraId="49DBD009" w14:textId="77777777" w:rsidR="00E51B18" w:rsidRPr="000132A0" w:rsidRDefault="00E51B18" w:rsidP="00E51B18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1. pololetí</w:t>
            </w:r>
          </w:p>
        </w:tc>
      </w:tr>
      <w:tr w:rsidR="00BC11FE" w:rsidRPr="00E51B18" w14:paraId="2D32C690" w14:textId="77777777" w:rsidTr="00E51B18">
        <w:trPr>
          <w:trHeight w:val="315"/>
        </w:trPr>
        <w:tc>
          <w:tcPr>
            <w:tcW w:w="939" w:type="pct"/>
            <w:vMerge/>
            <w:tcBorders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14:paraId="019B7338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439FD168" w14:textId="34E69766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2021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6531671C" w14:textId="62014AAF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2022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334D8ACB" w14:textId="503C1686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b/>
                <w:bCs/>
                <w:color w:val="FFFFFF"/>
                <w:szCs w:val="20"/>
              </w:rPr>
              <w:t>2023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40D25D9F" w14:textId="10829339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2021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615E685D" w14:textId="7C56A40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2022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504D"/>
            <w:vAlign w:val="center"/>
          </w:tcPr>
          <w:p w14:paraId="7DD69C30" w14:textId="47967874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2023</w:t>
            </w:r>
          </w:p>
        </w:tc>
      </w:tr>
      <w:tr w:rsidR="00BC11FE" w:rsidRPr="00E51B18" w14:paraId="19A025CD" w14:textId="77777777" w:rsidTr="00C13019">
        <w:trPr>
          <w:trHeight w:val="315"/>
        </w:trPr>
        <w:tc>
          <w:tcPr>
            <w:tcW w:w="939" w:type="pct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0FF85629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Praha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50E2030" w14:textId="0D4AE6A2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39 316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9F59B3E" w14:textId="669AFE07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43 155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6E517023" w14:textId="01B0C8C3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48 369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547EE05" w14:textId="22E0AFB0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28 541 800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738300AB" w14:textId="20C0BD7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31 910 951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3BD8B93" w14:textId="5A29007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37 721 618</w:t>
            </w:r>
          </w:p>
        </w:tc>
      </w:tr>
      <w:tr w:rsidR="00BC11FE" w:rsidRPr="00E51B18" w14:paraId="19A050FC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2FD6E112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Jihočeský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618540D6" w14:textId="0D7E9269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17 436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0152EA7" w14:textId="6310464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19 344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7AB9F7F" w14:textId="76128F84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21 772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6E12BB60" w14:textId="1D325A5A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12 213 414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FAB55D2" w14:textId="2FC0DE6D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13 884 589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4B08548C" w14:textId="7204CB92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16 023 331</w:t>
            </w:r>
          </w:p>
        </w:tc>
      </w:tr>
      <w:tr w:rsidR="00BC11FE" w:rsidRPr="00E51B18" w14:paraId="0C99DF91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364F8A05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Jihomoravský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46EBDAE" w14:textId="4BC36ECB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33 916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76F8A36" w14:textId="0266108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38 624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1D1616D5" w14:textId="4118C161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43 751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73769B5A" w14:textId="1521CA20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22 285 758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832D1D2" w14:textId="4C53EEE3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25 564 732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0A81E29" w14:textId="3D028C29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31 540 870</w:t>
            </w:r>
          </w:p>
        </w:tc>
      </w:tr>
      <w:tr w:rsidR="00BC11FE" w:rsidRPr="00E51B18" w14:paraId="72C525FA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06227AE5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Karlovarský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73D16606" w14:textId="237E3D20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8 536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4343F548" w14:textId="2094DDF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9 294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125A3CC" w14:textId="6DBF6B8B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10 901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C099E61" w14:textId="4B005C52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5 526 166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80DBDD6" w14:textId="67E2982B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6 218 392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238A957" w14:textId="25C7DEE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7 628 015</w:t>
            </w:r>
          </w:p>
        </w:tc>
      </w:tr>
      <w:tr w:rsidR="00BC11FE" w:rsidRPr="00E51B18" w14:paraId="3E1C196E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104ECA94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Vysočina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9BE52D4" w14:textId="3CFBA87A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17 604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557C584B" w14:textId="0A150FAD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19 679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1E5427D0" w14:textId="638DB45F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22 073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1D8825FD" w14:textId="7AF4966A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13 680 874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B262312" w14:textId="143B56D3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15 660 780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511C19F1" w14:textId="7FC028B9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18 084 249</w:t>
            </w:r>
          </w:p>
        </w:tc>
      </w:tr>
      <w:tr w:rsidR="00BC11FE" w:rsidRPr="00E51B18" w14:paraId="2F4FAEBF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5708537F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Královéhradecký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7578145D" w14:textId="1D7B1E79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14 930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1AB21CD6" w14:textId="65072561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16 510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E090AB2" w14:textId="4E4D8A89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19 302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7BEC170B" w14:textId="437E88EF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9 517 069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B3CECAB" w14:textId="68582013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10 796 044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B5036B5" w14:textId="09E7405D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13 002 350</w:t>
            </w:r>
          </w:p>
        </w:tc>
      </w:tr>
      <w:tr w:rsidR="00BC11FE" w:rsidRPr="00E51B18" w14:paraId="64E7E21E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1EEFABEE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Liberecký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6BA39B6E" w14:textId="174CCCB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14 058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7E8EC038" w14:textId="5E31E9A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15 314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5712EE3" w14:textId="0FC88470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17 558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2208EC3" w14:textId="17D35E4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9 284 994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56118F94" w14:textId="22D4C0C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10 658 748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7ABDF834" w14:textId="079CECB5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12 760 628</w:t>
            </w:r>
          </w:p>
        </w:tc>
      </w:tr>
      <w:tr w:rsidR="00BC11FE" w:rsidRPr="00E51B18" w14:paraId="403C84FE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2EDA8339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Moravskoslezský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0FE8F1E2" w14:textId="7857651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22 239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76942C36" w14:textId="3BDDAFB1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24 781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D710DE7" w14:textId="1A8D67EC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27 886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652F1B2D" w14:textId="56F47D37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14 604 346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B327965" w14:textId="7C748889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16 752 473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A67EEAF" w14:textId="2A3182B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20 356 259</w:t>
            </w:r>
          </w:p>
        </w:tc>
      </w:tr>
      <w:tr w:rsidR="00BC11FE" w:rsidRPr="00E51B18" w14:paraId="774C2FD4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6CC6E0CF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Olomoucký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4AB4B8E" w14:textId="4BCF36C5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15 730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5A7E3EDB" w14:textId="42A9F517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17 275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83E4135" w14:textId="3DD89B2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19 122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7586C70" w14:textId="1DA6DCA5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10 587 307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644EAE4" w14:textId="256B5692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11 791 728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CF3FD60" w14:textId="487091B4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13 789 225</w:t>
            </w:r>
          </w:p>
        </w:tc>
      </w:tr>
      <w:tr w:rsidR="00BC11FE" w:rsidRPr="00E51B18" w14:paraId="4E71D360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40D3BDB2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Pardubický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16211BE0" w14:textId="6774FB9B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16 974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0F371B6C" w14:textId="0D2C3A64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18 758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5023B6CE" w14:textId="39C51FE1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21 167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0528DC00" w14:textId="21E4F476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10 707 608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0B8C9357" w14:textId="6783090A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12 017 856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AFD31F2" w14:textId="21927D76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14 428 096</w:t>
            </w:r>
          </w:p>
        </w:tc>
      </w:tr>
      <w:tr w:rsidR="00BC11FE" w:rsidRPr="00E51B18" w14:paraId="750971C9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7FC6E822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Plzeňský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CC44D87" w14:textId="0DE5538F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17 515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61DEDA2E" w14:textId="74C8C94B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19 187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D650202" w14:textId="5A64C61D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21 458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670AE4C2" w14:textId="28FEAAFD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12 932 239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7F6E51B" w14:textId="4CF2640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14 674 334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5C01599" w14:textId="0BE3CDE5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17 397 010</w:t>
            </w:r>
          </w:p>
        </w:tc>
      </w:tr>
      <w:tr w:rsidR="00BC11FE" w:rsidRPr="00E51B18" w14:paraId="3B0D853B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065F18BF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Středočeský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0944FA15" w14:textId="31C35E2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35 235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63AAEED" w14:textId="55DF4093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38 990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045595E4" w14:textId="67113C65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43 792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6263EC7F" w14:textId="09F4629F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24 708 923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E74A578" w14:textId="7F782DD2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28 097 308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4BFCC48F" w14:textId="3D5E7C3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33 088 860</w:t>
            </w:r>
          </w:p>
        </w:tc>
      </w:tr>
      <w:tr w:rsidR="00BC11FE" w:rsidRPr="00E51B18" w14:paraId="6EEE08DC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10BCF5C3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Ústecký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C2CFEB3" w14:textId="2EFFE9C4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23 300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533F019" w14:textId="70BD2AD4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25 741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548EA51B" w14:textId="1B46E42E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29 195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7F60D538" w14:textId="4082DD1B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15 209 662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0E0D26F" w14:textId="77692C8C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17 040 300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BF5C75E" w14:textId="6CD13D3F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20 261 109</w:t>
            </w:r>
          </w:p>
        </w:tc>
      </w:tr>
      <w:tr w:rsidR="00BC11FE" w:rsidRPr="00E51B18" w14:paraId="2C34DF26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3CD6C41A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Zlínský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162DEDBE" w14:textId="2AB7D7C0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19 324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7B0652C2" w14:textId="242108A5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21 186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CA1DA48" w14:textId="09AC8B5C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23 985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283FD519" w14:textId="18DEEB9A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12 363 363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33DEEADD" w14:textId="3B01266C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14 029 994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FA7A6"/>
            <w:vAlign w:val="center"/>
          </w:tcPr>
          <w:p w14:paraId="09E4DE68" w14:textId="32279B37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color w:val="000000"/>
                <w:szCs w:val="20"/>
              </w:rPr>
              <w:t>16 697 446</w:t>
            </w:r>
          </w:p>
        </w:tc>
      </w:tr>
      <w:tr w:rsidR="00BC11FE" w:rsidRPr="00E51B18" w14:paraId="1B21EE67" w14:textId="77777777" w:rsidTr="00C13019">
        <w:trPr>
          <w:trHeight w:val="315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C0504D"/>
            <w:vAlign w:val="center"/>
            <w:hideMark/>
          </w:tcPr>
          <w:p w14:paraId="03618475" w14:textId="77777777" w:rsidR="00BC11FE" w:rsidRPr="000132A0" w:rsidRDefault="00BC11FE" w:rsidP="00BC11FE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cs-CZ"/>
              </w:rPr>
              <w:t>CELKEM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4F233333" w14:textId="69DCA887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  <w:t>296 113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14701C4C" w14:textId="22555EB6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327 839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2BFA5140" w14:textId="3B6B094F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370 331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3D0BBC39" w14:textId="362BCEE8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  <w:t>202 163 522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0640A47D" w14:textId="49AD73AC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229 098 350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FD3D2"/>
            <w:vAlign w:val="center"/>
          </w:tcPr>
          <w:p w14:paraId="78F2F159" w14:textId="347A543D" w:rsidR="00BC11FE" w:rsidRPr="000132A0" w:rsidRDefault="00BC11FE" w:rsidP="00BC11F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</w:pPr>
            <w:r w:rsidRPr="000132A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272 779 066</w:t>
            </w:r>
          </w:p>
        </w:tc>
      </w:tr>
    </w:tbl>
    <w:p w14:paraId="30ACFCDF" w14:textId="776DB3DA" w:rsidR="00E51B18" w:rsidRPr="00774342" w:rsidRDefault="00E51B18" w:rsidP="00CC6E33">
      <w:pPr>
        <w:spacing w:before="0" w:line="276" w:lineRule="auto"/>
        <w:jc w:val="both"/>
        <w:rPr>
          <w:bCs/>
          <w:szCs w:val="20"/>
        </w:rPr>
      </w:pPr>
    </w:p>
    <w:p w14:paraId="7247923B" w14:textId="77777777" w:rsidR="00E51B18" w:rsidRPr="00774342" w:rsidRDefault="00E51B18" w:rsidP="00CC6E33">
      <w:pPr>
        <w:spacing w:before="0" w:line="276" w:lineRule="auto"/>
        <w:jc w:val="both"/>
        <w:rPr>
          <w:bCs/>
          <w:szCs w:val="20"/>
        </w:rPr>
      </w:pPr>
    </w:p>
    <w:p w14:paraId="465AF1C0" w14:textId="1434D037" w:rsidR="00995BAE" w:rsidRPr="00774342" w:rsidRDefault="00526A50" w:rsidP="00FF44C1">
      <w:pPr>
        <w:spacing w:before="0" w:line="276" w:lineRule="auto"/>
        <w:rPr>
          <w:b/>
          <w:bCs/>
          <w:szCs w:val="20"/>
        </w:rPr>
      </w:pPr>
      <w:r w:rsidRPr="00774342">
        <w:rPr>
          <w:b/>
          <w:bCs/>
          <w:szCs w:val="20"/>
        </w:rPr>
        <w:t>Viktorie Plívová</w:t>
      </w:r>
    </w:p>
    <w:p w14:paraId="29F91A9C" w14:textId="6A31566F" w:rsidR="00995BAE" w:rsidRPr="00774342" w:rsidRDefault="00580E10" w:rsidP="00FF44C1">
      <w:pPr>
        <w:spacing w:before="0" w:line="276" w:lineRule="auto"/>
        <w:rPr>
          <w:szCs w:val="20"/>
        </w:rPr>
      </w:pPr>
      <w:r>
        <w:rPr>
          <w:szCs w:val="20"/>
        </w:rPr>
        <w:t>t</w:t>
      </w:r>
      <w:r w:rsidR="00526A50" w:rsidRPr="00774342">
        <w:rPr>
          <w:szCs w:val="20"/>
        </w:rPr>
        <w:t>isková mluvčí</w:t>
      </w:r>
    </w:p>
    <w:sectPr w:rsidR="00995BAE" w:rsidRPr="00774342" w:rsidSect="00F920F3">
      <w:footerReference w:type="default" r:id="rId19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B2EBB" w14:textId="77777777" w:rsidR="000A3C3A" w:rsidRDefault="000A3C3A" w:rsidP="00844E5F">
      <w:pPr>
        <w:spacing w:before="0" w:line="240" w:lineRule="auto"/>
      </w:pPr>
      <w:r>
        <w:separator/>
      </w:r>
    </w:p>
  </w:endnote>
  <w:endnote w:type="continuationSeparator" w:id="0">
    <w:p w14:paraId="79CFD78F" w14:textId="77777777" w:rsidR="000A3C3A" w:rsidRDefault="000A3C3A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75C43" w14:textId="77777777" w:rsidR="000A3C3A" w:rsidRDefault="000A3C3A" w:rsidP="00844E5F">
      <w:pPr>
        <w:spacing w:before="0" w:line="240" w:lineRule="auto"/>
      </w:pPr>
      <w:r>
        <w:separator/>
      </w:r>
    </w:p>
  </w:footnote>
  <w:footnote w:type="continuationSeparator" w:id="0">
    <w:p w14:paraId="7B9F64F5" w14:textId="77777777" w:rsidR="000A3C3A" w:rsidRDefault="000A3C3A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5561D"/>
    <w:multiLevelType w:val="hybridMultilevel"/>
    <w:tmpl w:val="7F8A7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132A0"/>
    <w:rsid w:val="00017617"/>
    <w:rsid w:val="00021E10"/>
    <w:rsid w:val="00024376"/>
    <w:rsid w:val="000249DD"/>
    <w:rsid w:val="00047E2A"/>
    <w:rsid w:val="00082A67"/>
    <w:rsid w:val="000A3C3A"/>
    <w:rsid w:val="000B1A6B"/>
    <w:rsid w:val="000C1A7A"/>
    <w:rsid w:val="000F0D97"/>
    <w:rsid w:val="000F600B"/>
    <w:rsid w:val="0010012F"/>
    <w:rsid w:val="00111EF0"/>
    <w:rsid w:val="00117FF2"/>
    <w:rsid w:val="001416FA"/>
    <w:rsid w:val="0014539C"/>
    <w:rsid w:val="0016318C"/>
    <w:rsid w:val="0017097A"/>
    <w:rsid w:val="00173A2F"/>
    <w:rsid w:val="001746D3"/>
    <w:rsid w:val="001864B0"/>
    <w:rsid w:val="00190EE7"/>
    <w:rsid w:val="001A0D4C"/>
    <w:rsid w:val="001A0F6D"/>
    <w:rsid w:val="001A6517"/>
    <w:rsid w:val="001C5526"/>
    <w:rsid w:val="001F5D10"/>
    <w:rsid w:val="002255E5"/>
    <w:rsid w:val="00250A59"/>
    <w:rsid w:val="002539D7"/>
    <w:rsid w:val="00257D51"/>
    <w:rsid w:val="00274A20"/>
    <w:rsid w:val="00293632"/>
    <w:rsid w:val="002C0105"/>
    <w:rsid w:val="002D542C"/>
    <w:rsid w:val="002E32D0"/>
    <w:rsid w:val="00315790"/>
    <w:rsid w:val="00322A4A"/>
    <w:rsid w:val="00372F77"/>
    <w:rsid w:val="00373449"/>
    <w:rsid w:val="00383732"/>
    <w:rsid w:val="00391204"/>
    <w:rsid w:val="003B3E13"/>
    <w:rsid w:val="003B637A"/>
    <w:rsid w:val="003C37EE"/>
    <w:rsid w:val="003D5F56"/>
    <w:rsid w:val="003F2E5F"/>
    <w:rsid w:val="003F6E42"/>
    <w:rsid w:val="004359B2"/>
    <w:rsid w:val="00454E77"/>
    <w:rsid w:val="004675A2"/>
    <w:rsid w:val="00471D79"/>
    <w:rsid w:val="004971D8"/>
    <w:rsid w:val="004A77F8"/>
    <w:rsid w:val="004E4AB4"/>
    <w:rsid w:val="004E6477"/>
    <w:rsid w:val="00501E41"/>
    <w:rsid w:val="00511FA0"/>
    <w:rsid w:val="00526A50"/>
    <w:rsid w:val="00550B65"/>
    <w:rsid w:val="00551447"/>
    <w:rsid w:val="005551D5"/>
    <w:rsid w:val="0055776A"/>
    <w:rsid w:val="005735D4"/>
    <w:rsid w:val="00580E10"/>
    <w:rsid w:val="005E5F77"/>
    <w:rsid w:val="005F4AFF"/>
    <w:rsid w:val="00603CF2"/>
    <w:rsid w:val="0062685B"/>
    <w:rsid w:val="006445EF"/>
    <w:rsid w:val="00652B1C"/>
    <w:rsid w:val="006535BC"/>
    <w:rsid w:val="00691317"/>
    <w:rsid w:val="00692259"/>
    <w:rsid w:val="006C05CA"/>
    <w:rsid w:val="006E2FF8"/>
    <w:rsid w:val="006F103F"/>
    <w:rsid w:val="00706964"/>
    <w:rsid w:val="00712BC5"/>
    <w:rsid w:val="00721A96"/>
    <w:rsid w:val="0072778F"/>
    <w:rsid w:val="00727D2B"/>
    <w:rsid w:val="00737858"/>
    <w:rsid w:val="007608C5"/>
    <w:rsid w:val="00773145"/>
    <w:rsid w:val="00774342"/>
    <w:rsid w:val="007A0305"/>
    <w:rsid w:val="007C63D9"/>
    <w:rsid w:val="008402EF"/>
    <w:rsid w:val="008431C0"/>
    <w:rsid w:val="00844E5F"/>
    <w:rsid w:val="0085553F"/>
    <w:rsid w:val="00867F40"/>
    <w:rsid w:val="008823D4"/>
    <w:rsid w:val="00892F70"/>
    <w:rsid w:val="00893971"/>
    <w:rsid w:val="00894D8B"/>
    <w:rsid w:val="008D26F1"/>
    <w:rsid w:val="008D3E0A"/>
    <w:rsid w:val="008E3A0E"/>
    <w:rsid w:val="009029C4"/>
    <w:rsid w:val="00905AD5"/>
    <w:rsid w:val="009803FA"/>
    <w:rsid w:val="00980B26"/>
    <w:rsid w:val="00990166"/>
    <w:rsid w:val="0099061E"/>
    <w:rsid w:val="00995BAE"/>
    <w:rsid w:val="009A5375"/>
    <w:rsid w:val="009B432F"/>
    <w:rsid w:val="009C483E"/>
    <w:rsid w:val="009D2AEA"/>
    <w:rsid w:val="009D4881"/>
    <w:rsid w:val="009F0CA3"/>
    <w:rsid w:val="00A20EBA"/>
    <w:rsid w:val="00A2483D"/>
    <w:rsid w:val="00A2490D"/>
    <w:rsid w:val="00A34F8C"/>
    <w:rsid w:val="00A35BE7"/>
    <w:rsid w:val="00A371DD"/>
    <w:rsid w:val="00A51C44"/>
    <w:rsid w:val="00A770CA"/>
    <w:rsid w:val="00A90608"/>
    <w:rsid w:val="00A90703"/>
    <w:rsid w:val="00AB54D8"/>
    <w:rsid w:val="00AD2445"/>
    <w:rsid w:val="00AD3AFC"/>
    <w:rsid w:val="00AD4972"/>
    <w:rsid w:val="00AE224E"/>
    <w:rsid w:val="00B4003E"/>
    <w:rsid w:val="00B47D31"/>
    <w:rsid w:val="00B63E32"/>
    <w:rsid w:val="00B76A28"/>
    <w:rsid w:val="00B81F16"/>
    <w:rsid w:val="00B90EBA"/>
    <w:rsid w:val="00BA2609"/>
    <w:rsid w:val="00BB023A"/>
    <w:rsid w:val="00BC0BD9"/>
    <w:rsid w:val="00BC11FE"/>
    <w:rsid w:val="00BC19A9"/>
    <w:rsid w:val="00BC2C45"/>
    <w:rsid w:val="00BC5B52"/>
    <w:rsid w:val="00BE2084"/>
    <w:rsid w:val="00BE6D66"/>
    <w:rsid w:val="00BF69C5"/>
    <w:rsid w:val="00C251CC"/>
    <w:rsid w:val="00C4656F"/>
    <w:rsid w:val="00CC6E33"/>
    <w:rsid w:val="00CC7984"/>
    <w:rsid w:val="00CD0A20"/>
    <w:rsid w:val="00CD3CE1"/>
    <w:rsid w:val="00CF3D87"/>
    <w:rsid w:val="00D27972"/>
    <w:rsid w:val="00D52D46"/>
    <w:rsid w:val="00D53AFC"/>
    <w:rsid w:val="00D60829"/>
    <w:rsid w:val="00D63481"/>
    <w:rsid w:val="00D72CF4"/>
    <w:rsid w:val="00D74502"/>
    <w:rsid w:val="00D80B90"/>
    <w:rsid w:val="00D9066F"/>
    <w:rsid w:val="00D94D22"/>
    <w:rsid w:val="00D97DD6"/>
    <w:rsid w:val="00DB017F"/>
    <w:rsid w:val="00DB5B0D"/>
    <w:rsid w:val="00DE2289"/>
    <w:rsid w:val="00DF7A80"/>
    <w:rsid w:val="00E069DE"/>
    <w:rsid w:val="00E2331B"/>
    <w:rsid w:val="00E25079"/>
    <w:rsid w:val="00E51B18"/>
    <w:rsid w:val="00E570CA"/>
    <w:rsid w:val="00E60BF6"/>
    <w:rsid w:val="00E671CB"/>
    <w:rsid w:val="00E73E81"/>
    <w:rsid w:val="00E83AD6"/>
    <w:rsid w:val="00E971C2"/>
    <w:rsid w:val="00EB4987"/>
    <w:rsid w:val="00F019E9"/>
    <w:rsid w:val="00F01D09"/>
    <w:rsid w:val="00F07E49"/>
    <w:rsid w:val="00F27275"/>
    <w:rsid w:val="00F31C0F"/>
    <w:rsid w:val="00F62A52"/>
    <w:rsid w:val="00F64632"/>
    <w:rsid w:val="00F90673"/>
    <w:rsid w:val="00F920F3"/>
    <w:rsid w:val="00FC3E11"/>
    <w:rsid w:val="00FC65F4"/>
    <w:rsid w:val="00FF187C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Bullet List,FooterText,numbered,List Paragraph1,Paragraphe de liste1,Bulletr List Paragraph"/>
    <w:basedOn w:val="Normln"/>
    <w:link w:val="OdstavecseseznamemChar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  <w:style w:type="character" w:customStyle="1" w:styleId="Zkladntext">
    <w:name w:val="Základní text_"/>
    <w:basedOn w:val="Standardnpsmoodstavce"/>
    <w:link w:val="Zkladntext1"/>
    <w:rsid w:val="001416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1416FA"/>
    <w:pPr>
      <w:widowControl w:val="0"/>
      <w:shd w:val="clear" w:color="auto" w:fill="FFFFFF"/>
      <w:spacing w:before="0" w:line="240" w:lineRule="auto"/>
    </w:pPr>
    <w:rPr>
      <w:rFonts w:ascii="Times New Roman" w:eastAsia="Times New Roman" w:hAnsi="Times New Roman" w:cs="Times New Roman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Bullet List Char,FooterText Char,numbered Char"/>
    <w:link w:val="Odstavecseseznamem"/>
    <w:uiPriority w:val="34"/>
    <w:locked/>
    <w:rsid w:val="0072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zp.cz/pojistenci/informace-a-zivotni-situace/regulacni-poplatky-a-ochranne-limity/ochranny-limit-u-invalidu" TargetMode="External"/><Relationship Id="rId18" Type="http://schemas.openxmlformats.org/officeDocument/2006/relationships/hyperlink" Target="https://www.vzp.cz/e-vzp/vzp-poin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vzp.cz/pojistenci/informace-a-zivotni-situace/regulacni-poplatky-a-ochranne-limity/ochranne-limity" TargetMode="External"/><Relationship Id="rId17" Type="http://schemas.openxmlformats.org/officeDocument/2006/relationships/hyperlink" Target="https://www.vzp.cz/e-vzp/moje-vz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datelna@vzp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zp.cz/pojistenci/informace-a-zivotni-situace/regulacni-poplatky-a-ochranne-limity/ochranne-limit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zp.cz/kontakty/pobocky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je.vzp.cz/nahlaseni-zmeny/nahlaseni-bankovniho-uct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2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2</cp:revision>
  <cp:lastPrinted>2023-08-03T12:59:00Z</cp:lastPrinted>
  <dcterms:created xsi:type="dcterms:W3CDTF">2023-08-21T06:18:00Z</dcterms:created>
  <dcterms:modified xsi:type="dcterms:W3CDTF">2023-08-21T06:18:00Z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