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FF44C1">
            <w:pPr>
              <w:pStyle w:val="Bezmezer"/>
              <w:spacing w:line="276" w:lineRule="auto"/>
              <w:ind w:left="-107"/>
              <w:jc w:val="both"/>
              <w:rPr>
                <w:rFonts w:ascii="Arial" w:hAnsi="Arial"/>
              </w:rPr>
            </w:pPr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FF44C1">
            <w:pPr>
              <w:pStyle w:val="Normlnmini"/>
              <w:spacing w:line="276" w:lineRule="auto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FF44C1">
            <w:pPr>
              <w:pStyle w:val="NORMLNkapitlky"/>
              <w:spacing w:line="276" w:lineRule="auto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61E6DF08" w14:textId="336A0F33" w:rsidR="004A77F8" w:rsidRPr="008823D4" w:rsidRDefault="004A77F8" w:rsidP="00FF44C1">
      <w:pPr>
        <w:pStyle w:val="Normlnmini"/>
        <w:spacing w:line="276" w:lineRule="auto"/>
        <w:rPr>
          <w:sz w:val="20"/>
        </w:rPr>
      </w:pPr>
    </w:p>
    <w:p w14:paraId="06D5D918" w14:textId="54F61EB9" w:rsidR="00AD3AFC" w:rsidRPr="008823D4" w:rsidRDefault="00AD3AFC" w:rsidP="00FF44C1">
      <w:pPr>
        <w:pStyle w:val="Normlnmini"/>
        <w:spacing w:line="276" w:lineRule="auto"/>
        <w:rPr>
          <w:sz w:val="20"/>
        </w:rPr>
      </w:pPr>
    </w:p>
    <w:p w14:paraId="62ED152C" w14:textId="291EE595" w:rsidR="00995BAE" w:rsidRPr="00D9066F" w:rsidRDefault="00995BAE" w:rsidP="00FF44C1">
      <w:pPr>
        <w:spacing w:before="0" w:line="276" w:lineRule="auto"/>
        <w:jc w:val="right"/>
        <w:rPr>
          <w:color w:val="212121"/>
          <w:szCs w:val="20"/>
        </w:rPr>
      </w:pPr>
      <w:r w:rsidRPr="00D9066F">
        <w:rPr>
          <w:color w:val="212121"/>
          <w:szCs w:val="20"/>
        </w:rPr>
        <w:t xml:space="preserve">Praha </w:t>
      </w:r>
      <w:r w:rsidR="00A90703">
        <w:rPr>
          <w:color w:val="212121"/>
          <w:szCs w:val="20"/>
        </w:rPr>
        <w:t>9</w:t>
      </w:r>
      <w:r w:rsidR="00526A50">
        <w:rPr>
          <w:color w:val="212121"/>
          <w:szCs w:val="20"/>
        </w:rPr>
        <w:t xml:space="preserve">. </w:t>
      </w:r>
      <w:r w:rsidR="00FF44C1">
        <w:rPr>
          <w:color w:val="212121"/>
          <w:szCs w:val="20"/>
        </w:rPr>
        <w:t>5</w:t>
      </w:r>
      <w:r w:rsidRPr="00D9066F">
        <w:rPr>
          <w:color w:val="212121"/>
          <w:szCs w:val="20"/>
        </w:rPr>
        <w:t>. 202</w:t>
      </w:r>
      <w:r w:rsidR="00D9066F">
        <w:rPr>
          <w:color w:val="212121"/>
          <w:szCs w:val="20"/>
        </w:rPr>
        <w:t>3</w:t>
      </w:r>
    </w:p>
    <w:p w14:paraId="3C523165" w14:textId="77777777" w:rsidR="00995BAE" w:rsidRPr="00B04F7D" w:rsidRDefault="00995BAE" w:rsidP="00FF44C1">
      <w:pPr>
        <w:spacing w:before="0" w:line="276" w:lineRule="auto"/>
        <w:rPr>
          <w:color w:val="212121"/>
        </w:rPr>
      </w:pPr>
    </w:p>
    <w:p w14:paraId="7841DDE3" w14:textId="77777777" w:rsidR="00FF44C1" w:rsidRPr="00C5184A" w:rsidRDefault="00FF44C1" w:rsidP="00FF44C1">
      <w:pPr>
        <w:spacing w:before="0" w:line="276" w:lineRule="auto"/>
        <w:rPr>
          <w:b/>
          <w:bCs/>
          <w:color w:val="D22D0F"/>
        </w:rPr>
      </w:pPr>
      <w:r w:rsidRPr="00C5184A">
        <w:rPr>
          <w:b/>
          <w:bCs/>
          <w:color w:val="D22D0F"/>
        </w:rPr>
        <w:t>S rakovinou se vloni léčilo víc než 300 tisíc pojištěnců VZP, náklady na jejich léčbu dosahují téměř 20 miliard korun</w:t>
      </w:r>
    </w:p>
    <w:p w14:paraId="11EA37CB" w14:textId="77777777" w:rsidR="00FF44C1" w:rsidRPr="003D1795" w:rsidRDefault="00FF44C1" w:rsidP="00FF44C1">
      <w:pPr>
        <w:spacing w:before="0" w:line="276" w:lineRule="auto"/>
      </w:pPr>
    </w:p>
    <w:p w14:paraId="616B10A1" w14:textId="39BF0A3F" w:rsidR="00FF44C1" w:rsidRPr="00A2490D" w:rsidRDefault="00FF44C1" w:rsidP="00FF44C1">
      <w:pPr>
        <w:spacing w:before="0" w:line="276" w:lineRule="auto"/>
        <w:jc w:val="both"/>
        <w:rPr>
          <w:b/>
        </w:rPr>
      </w:pPr>
      <w:r w:rsidRPr="00A2490D">
        <w:rPr>
          <w:b/>
        </w:rPr>
        <w:t>V loňském roce se léčilo s různými onkologickými formami přes 314 tisíc klientů VZP, léčba onkologických pacientů stála rekordních 19,3 miliardy korun. Mezi nejčastější formy nádorových onemocnění, se kterými se léč</w:t>
      </w:r>
      <w:r w:rsidR="00F01D09">
        <w:rPr>
          <w:b/>
        </w:rPr>
        <w:t xml:space="preserve">ili </w:t>
      </w:r>
      <w:r w:rsidRPr="00A2490D">
        <w:rPr>
          <w:b/>
        </w:rPr>
        <w:t>klienti VZP, patř</w:t>
      </w:r>
      <w:r w:rsidR="00F01D09">
        <w:rPr>
          <w:b/>
        </w:rPr>
        <w:t>ily</w:t>
      </w:r>
      <w:r w:rsidRPr="00A2490D">
        <w:rPr>
          <w:b/>
        </w:rPr>
        <w:t xml:space="preserve"> nádory kůže (72 tis.), prsou (56 tis.) a mužských pohlavních orgánů (52 tis.). Nejdražší je léčba nádorů mízních, krvetvorných a příbuzných tkání. Na včasný záchyt onkologických onemocnění jsou zaměřeny screeningové programy</w:t>
      </w:r>
      <w:r w:rsidR="00F01D09">
        <w:rPr>
          <w:b/>
        </w:rPr>
        <w:t>. O</w:t>
      </w:r>
      <w:r w:rsidRPr="00A2490D">
        <w:rPr>
          <w:b/>
        </w:rPr>
        <w:t>d loňského roku také</w:t>
      </w:r>
      <w:r w:rsidR="00F01D09">
        <w:rPr>
          <w:b/>
        </w:rPr>
        <w:t xml:space="preserve"> nově zavedený</w:t>
      </w:r>
      <w:r w:rsidRPr="00A2490D">
        <w:rPr>
          <w:b/>
        </w:rPr>
        <w:t xml:space="preserve"> </w:t>
      </w:r>
      <w:proofErr w:type="spellStart"/>
      <w:r w:rsidRPr="00A2490D">
        <w:rPr>
          <w:b/>
        </w:rPr>
        <w:t>screening</w:t>
      </w:r>
      <w:proofErr w:type="spellEnd"/>
      <w:r w:rsidRPr="00A2490D">
        <w:rPr>
          <w:b/>
        </w:rPr>
        <w:t xml:space="preserve"> plic, </w:t>
      </w:r>
      <w:r w:rsidR="00F01D09">
        <w:rPr>
          <w:b/>
        </w:rPr>
        <w:t xml:space="preserve">do kterého se dosud zapojilo 5 000 klientů VZP a </w:t>
      </w:r>
      <w:r w:rsidRPr="00A2490D">
        <w:rPr>
          <w:b/>
        </w:rPr>
        <w:t xml:space="preserve">díky němuž bylo </w:t>
      </w:r>
      <w:r w:rsidR="00F01D09">
        <w:rPr>
          <w:b/>
        </w:rPr>
        <w:t>zachyceno</w:t>
      </w:r>
      <w:r w:rsidRPr="00A2490D">
        <w:rPr>
          <w:b/>
        </w:rPr>
        <w:t xml:space="preserve"> 85 nádorů. Analýzu vypracovala Všeobecná zdravotní pojišťovna v souvislosti s květnovým Česk</w:t>
      </w:r>
      <w:r w:rsidR="00A90703">
        <w:rPr>
          <w:b/>
        </w:rPr>
        <w:t>ým</w:t>
      </w:r>
      <w:r w:rsidRPr="00A2490D">
        <w:rPr>
          <w:b/>
        </w:rPr>
        <w:t xml:space="preserve"> d</w:t>
      </w:r>
      <w:r w:rsidR="00A90703">
        <w:rPr>
          <w:b/>
        </w:rPr>
        <w:t>nem</w:t>
      </w:r>
      <w:r w:rsidRPr="00A2490D">
        <w:rPr>
          <w:b/>
        </w:rPr>
        <w:t xml:space="preserve"> proti rakovině</w:t>
      </w:r>
      <w:r w:rsidR="00A90703">
        <w:rPr>
          <w:b/>
        </w:rPr>
        <w:t xml:space="preserve"> (10. května)</w:t>
      </w:r>
      <w:r w:rsidRPr="00A2490D">
        <w:rPr>
          <w:b/>
        </w:rPr>
        <w:t>.</w:t>
      </w:r>
    </w:p>
    <w:p w14:paraId="35381BD6" w14:textId="77777777" w:rsidR="00A2490D" w:rsidRDefault="00A2490D" w:rsidP="00FF44C1">
      <w:pPr>
        <w:spacing w:before="0" w:line="276" w:lineRule="auto"/>
        <w:jc w:val="both"/>
      </w:pPr>
    </w:p>
    <w:p w14:paraId="6369DEEE" w14:textId="2C117812" w:rsidR="00FF44C1" w:rsidRDefault="00FF44C1" w:rsidP="00FF44C1">
      <w:pPr>
        <w:spacing w:before="0" w:line="276" w:lineRule="auto"/>
        <w:jc w:val="both"/>
      </w:pPr>
      <w:r w:rsidRPr="003D1795">
        <w:t>Dle OECD je v České republice počet nově diagnostikovaných pacientů s nádorovým onemocněním nad průměrem EU.</w:t>
      </w:r>
      <w:r>
        <w:t xml:space="preserve"> V tzv. „</w:t>
      </w:r>
      <w:hyperlink r:id="rId10" w:history="1">
        <w:r w:rsidRPr="00890BD5">
          <w:rPr>
            <w:rStyle w:val="Hypertextovodkaz"/>
          </w:rPr>
          <w:t>Onkologickém profilu země 2023</w:t>
        </w:r>
      </w:hyperlink>
      <w:r>
        <w:t xml:space="preserve">“ OECD mj. poukazuje na rizikové faktory v Česku, jako je vysoká spotřeba alkoholu, vysoký počet kuřáků i míra nadváhy a obezity v české populaci, která patří k nejvyšším v EU. Zpráva naopak vyzdvihuje kvalitu onkologické péče, která se v posledních letech výrazně zlepšila, a také dobře zavedené screeningové programy, kde je míra účasti vyšší, než je průměr EU, a to jak u </w:t>
      </w:r>
      <w:proofErr w:type="spellStart"/>
      <w:r>
        <w:t>screeningu</w:t>
      </w:r>
      <w:proofErr w:type="spellEnd"/>
      <w:r>
        <w:t xml:space="preserve"> rakoviny děložního čípku, prsu i tlustého střeva a konečníku. </w:t>
      </w:r>
    </w:p>
    <w:p w14:paraId="1D498F20" w14:textId="77777777" w:rsidR="00A90703" w:rsidRPr="00A90703" w:rsidRDefault="00A90703" w:rsidP="00FF44C1">
      <w:pPr>
        <w:spacing w:before="0" w:line="276" w:lineRule="auto"/>
        <w:rPr>
          <w:b/>
        </w:rPr>
      </w:pPr>
    </w:p>
    <w:p w14:paraId="0C942CC3" w14:textId="686C496B" w:rsidR="00FF44C1" w:rsidRPr="00FF44C1" w:rsidRDefault="00FF44C1" w:rsidP="00FF44C1">
      <w:pPr>
        <w:spacing w:before="0" w:line="276" w:lineRule="auto"/>
        <w:rPr>
          <w:b/>
        </w:rPr>
      </w:pPr>
      <w:r w:rsidRPr="00FF44C1">
        <w:rPr>
          <w:b/>
        </w:rPr>
        <w:t xml:space="preserve">Počet klientů VZP s diagnostikovanými různými formami rakoviny </w:t>
      </w:r>
      <w:r w:rsidR="00F01D09">
        <w:rPr>
          <w:b/>
        </w:rPr>
        <w:t>(2020–2022)</w:t>
      </w:r>
      <w:r w:rsidRPr="00FF44C1">
        <w:rPr>
          <w:b/>
        </w:rPr>
        <w:t xml:space="preserve"> </w:t>
      </w:r>
    </w:p>
    <w:tbl>
      <w:tblPr>
        <w:tblpPr w:leftFromText="141" w:rightFromText="141" w:vertAnchor="text" w:horzAnchor="margin" w:tblpXSpec="right" w:tblpY="345"/>
        <w:tblW w:w="90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960"/>
        <w:gridCol w:w="1007"/>
        <w:gridCol w:w="1276"/>
        <w:gridCol w:w="1134"/>
        <w:gridCol w:w="1276"/>
        <w:gridCol w:w="1134"/>
        <w:gridCol w:w="1277"/>
      </w:tblGrid>
      <w:tr w:rsidR="00FF44C1" w:rsidRPr="003D1795" w14:paraId="66E47426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2B85F701" w14:textId="77777777" w:rsidR="00FF44C1" w:rsidRPr="003D1795" w:rsidRDefault="00FF44C1" w:rsidP="00FF44C1">
            <w:pPr>
              <w:keepNext/>
              <w:keepLines/>
              <w:spacing w:before="0" w:line="276" w:lineRule="auto"/>
              <w:jc w:val="both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bookmarkStart w:id="0" w:name="_Hlk39575466"/>
          </w:p>
        </w:tc>
        <w:tc>
          <w:tcPr>
            <w:tcW w:w="2283" w:type="dxa"/>
            <w:gridSpan w:val="2"/>
            <w:shd w:val="clear" w:color="auto" w:fill="C0504D"/>
            <w:vAlign w:val="center"/>
          </w:tcPr>
          <w:p w14:paraId="4D61A3C0" w14:textId="77777777" w:rsidR="00FF44C1" w:rsidRPr="003D1795" w:rsidRDefault="00FF44C1" w:rsidP="00FF44C1">
            <w:pPr>
              <w:pStyle w:val="Bezmezer"/>
              <w:keepNext/>
              <w:keepLines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2410" w:type="dxa"/>
            <w:gridSpan w:val="2"/>
            <w:shd w:val="clear" w:color="auto" w:fill="C0504D"/>
            <w:vAlign w:val="center"/>
          </w:tcPr>
          <w:p w14:paraId="35D3D40B" w14:textId="77777777" w:rsidR="00FF44C1" w:rsidRPr="003D1795" w:rsidRDefault="00FF44C1" w:rsidP="00FF44C1">
            <w:pPr>
              <w:pStyle w:val="Bezmezer"/>
              <w:keepNext/>
              <w:keepLines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2021</w:t>
            </w:r>
          </w:p>
        </w:tc>
        <w:tc>
          <w:tcPr>
            <w:tcW w:w="2411" w:type="dxa"/>
            <w:gridSpan w:val="2"/>
            <w:shd w:val="clear" w:color="auto" w:fill="C0504D"/>
            <w:vAlign w:val="center"/>
          </w:tcPr>
          <w:p w14:paraId="1A7A74ED" w14:textId="77777777" w:rsidR="00FF44C1" w:rsidRPr="003D1795" w:rsidRDefault="00FF44C1" w:rsidP="00FF44C1">
            <w:pPr>
              <w:pStyle w:val="Bezmezer"/>
              <w:keepNext/>
              <w:keepLines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2022</w:t>
            </w:r>
          </w:p>
        </w:tc>
      </w:tr>
      <w:tr w:rsidR="00FF44C1" w:rsidRPr="003D1795" w14:paraId="2B0DD190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6548BDA7" w14:textId="77777777" w:rsidR="00FF44C1" w:rsidRPr="003D1795" w:rsidRDefault="00FF44C1" w:rsidP="00FF44C1">
            <w:pPr>
              <w:keepNext/>
              <w:keepLines/>
              <w:spacing w:before="0" w:line="276" w:lineRule="auto"/>
              <w:jc w:val="both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C0504D"/>
            <w:vAlign w:val="center"/>
          </w:tcPr>
          <w:p w14:paraId="32A0A66E" w14:textId="77777777" w:rsidR="00FF44C1" w:rsidRPr="003D1795" w:rsidRDefault="00FF44C1" w:rsidP="00FF44C1">
            <w:pPr>
              <w:keepNext/>
              <w:keepLines/>
              <w:spacing w:before="0" w:line="276" w:lineRule="auto"/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Počet pacientů</w:t>
            </w:r>
          </w:p>
        </w:tc>
        <w:tc>
          <w:tcPr>
            <w:tcW w:w="1276" w:type="dxa"/>
            <w:shd w:val="clear" w:color="auto" w:fill="C0504D"/>
            <w:vAlign w:val="center"/>
          </w:tcPr>
          <w:p w14:paraId="581D9FFA" w14:textId="77777777" w:rsidR="00FF44C1" w:rsidRPr="003D1795" w:rsidRDefault="00FF44C1" w:rsidP="00FF44C1">
            <w:pPr>
              <w:keepNext/>
              <w:keepLines/>
              <w:spacing w:before="0" w:line="276" w:lineRule="auto"/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Náklady na léčbu v tis. Kč</w:t>
            </w:r>
          </w:p>
        </w:tc>
        <w:tc>
          <w:tcPr>
            <w:tcW w:w="1134" w:type="dxa"/>
            <w:shd w:val="clear" w:color="auto" w:fill="C0504D"/>
            <w:vAlign w:val="center"/>
          </w:tcPr>
          <w:p w14:paraId="038F27BE" w14:textId="77777777" w:rsidR="00FF44C1" w:rsidRPr="003D1795" w:rsidRDefault="00FF44C1" w:rsidP="00FF44C1">
            <w:pPr>
              <w:keepNext/>
              <w:keepLines/>
              <w:spacing w:before="0" w:line="276" w:lineRule="auto"/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Počet pacientů</w:t>
            </w:r>
          </w:p>
        </w:tc>
        <w:tc>
          <w:tcPr>
            <w:tcW w:w="1276" w:type="dxa"/>
            <w:shd w:val="clear" w:color="auto" w:fill="C0504D"/>
            <w:vAlign w:val="center"/>
          </w:tcPr>
          <w:p w14:paraId="25F46969" w14:textId="77777777" w:rsidR="00FF44C1" w:rsidRPr="003D1795" w:rsidRDefault="00FF44C1" w:rsidP="00FF44C1">
            <w:pPr>
              <w:keepNext/>
              <w:keepLines/>
              <w:spacing w:before="0" w:line="276" w:lineRule="auto"/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Náklady na léčbu v tis. Kč</w:t>
            </w:r>
          </w:p>
        </w:tc>
        <w:tc>
          <w:tcPr>
            <w:tcW w:w="1134" w:type="dxa"/>
            <w:shd w:val="clear" w:color="auto" w:fill="C0504D"/>
            <w:vAlign w:val="center"/>
          </w:tcPr>
          <w:p w14:paraId="2C7C9C44" w14:textId="77777777" w:rsidR="00FF44C1" w:rsidRPr="003D1795" w:rsidRDefault="00FF44C1" w:rsidP="00FF44C1">
            <w:pPr>
              <w:keepNext/>
              <w:keepLines/>
              <w:spacing w:before="0" w:line="276" w:lineRule="auto"/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Počet pacientů</w:t>
            </w:r>
          </w:p>
        </w:tc>
        <w:tc>
          <w:tcPr>
            <w:tcW w:w="1277" w:type="dxa"/>
            <w:shd w:val="clear" w:color="auto" w:fill="C0504D"/>
            <w:vAlign w:val="center"/>
          </w:tcPr>
          <w:p w14:paraId="43839C3E" w14:textId="77777777" w:rsidR="00FF44C1" w:rsidRPr="003D1795" w:rsidRDefault="00FF44C1" w:rsidP="00FF44C1">
            <w:pPr>
              <w:keepNext/>
              <w:keepLines/>
              <w:spacing w:before="0" w:line="276" w:lineRule="auto"/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Náklady na léčbu v tis. Kč</w:t>
            </w:r>
          </w:p>
        </w:tc>
      </w:tr>
      <w:tr w:rsidR="00FF44C1" w:rsidRPr="003D1795" w14:paraId="5B4892B3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4C2D4F63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Hlava a krk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014B6D26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6 748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45A6F8A9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410 151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319E4B88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6 867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20C46112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432 212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28CCC004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7 556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51EF1013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513 371</w:t>
            </w:r>
          </w:p>
        </w:tc>
      </w:tr>
      <w:tr w:rsidR="00FF44C1" w:rsidRPr="003D1795" w14:paraId="40544098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0A30C927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Trávicí trakt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0CA194C5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44 053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2DD4F480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3 071 930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5DB4AF69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43 336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77BA31F9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3 054 648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3D1C0DB3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44 652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784669C2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3 429 862</w:t>
            </w:r>
          </w:p>
        </w:tc>
      </w:tr>
      <w:tr w:rsidR="00FF44C1" w:rsidRPr="003D1795" w14:paraId="59954A74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7B3EF0A4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Plíce a dýchací ústrojí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38A2B339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15 789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54C25E0F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1 256 136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3F9F42CF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15 543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5BD2E57A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1 332 676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44BA50D6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16 373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3ABC0193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1 727 285</w:t>
            </w:r>
          </w:p>
        </w:tc>
      </w:tr>
      <w:tr w:rsidR="00FF44C1" w:rsidRPr="003D1795" w14:paraId="60B82ADE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4F562D1D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Kosti a kloubní chrupavky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380D9DBB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1 455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7D68F3DC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73 707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3E603276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1 508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0B7CB64E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78 190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4A6A9538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1 547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75EB58BC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71 281</w:t>
            </w:r>
          </w:p>
        </w:tc>
      </w:tr>
      <w:tr w:rsidR="00FF44C1" w:rsidRPr="003D1795" w14:paraId="6803C57B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1451692F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Kůže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123CDE15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65 497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44209356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775 319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30C11D90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66 801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7B97F68C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846 334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0FDA65E1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72 083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48831685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958 537</w:t>
            </w:r>
          </w:p>
        </w:tc>
      </w:tr>
      <w:tr w:rsidR="00FF44C1" w:rsidRPr="003D1795" w14:paraId="5686794A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73BBDF5D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Mezotelové</w:t>
            </w:r>
            <w:proofErr w:type="spellEnd"/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 xml:space="preserve"> a měkké tkáně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0974F145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2 847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6658888E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179 332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6D7B9B08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2 856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39F76DE1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197 127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643F20D6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2 954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64DB923F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199 072</w:t>
            </w:r>
          </w:p>
        </w:tc>
      </w:tr>
      <w:tr w:rsidR="00FF44C1" w:rsidRPr="003D1795" w14:paraId="5CC53CAB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7FE7F621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lastRenderedPageBreak/>
              <w:t>Prsa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00DA3F90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54 852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4FC51642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2 183 050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56F3BC7D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55 024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5F92FCE5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2 251 062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24FCD634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56 002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12B249C8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2 494 785</w:t>
            </w:r>
          </w:p>
        </w:tc>
      </w:tr>
      <w:tr w:rsidR="00FF44C1" w:rsidRPr="003D1795" w14:paraId="023797AD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15B5631C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Ženské pohlavní orgány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6AA7EDBB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19 134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4758007D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741 264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1617A849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19 076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249FA913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769 306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1C260C5B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19 465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7AB4B959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919 387</w:t>
            </w:r>
          </w:p>
        </w:tc>
      </w:tr>
      <w:tr w:rsidR="00FF44C1" w:rsidRPr="003D1795" w14:paraId="52D451E7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29C28391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Mužské pohlavní orgány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263E229A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48 832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38C23F05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1 855 345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0EF86AD3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49 317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6B26E97B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1 855 466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4ED802CD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51 906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4FF05AB2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2 247 725</w:t>
            </w:r>
          </w:p>
        </w:tc>
      </w:tr>
      <w:tr w:rsidR="00FF44C1" w:rsidRPr="003D1795" w14:paraId="1C0C7305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3656F2B2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 xml:space="preserve">Močové ústrojí 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40A96018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31 009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3CD852DC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1 150 077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51EF891A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31 132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6D6B99B6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1 141 982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53F4D134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31 885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720A9BEB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1 305 825</w:t>
            </w:r>
          </w:p>
        </w:tc>
      </w:tr>
      <w:tr w:rsidR="00FF44C1" w:rsidRPr="003D1795" w14:paraId="02E8A710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24A548FB" w14:textId="77777777" w:rsidR="00FF44C1" w:rsidRPr="003D1795" w:rsidRDefault="00FF44C1" w:rsidP="00FF44C1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Centrální nervová soustava a oči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73ED8791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4 605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7A76C354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334 211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39305EE2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4 741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0FB4D733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321 131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27B083DD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5 048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39BF81F0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404 831</w:t>
            </w:r>
          </w:p>
        </w:tc>
      </w:tr>
      <w:tr w:rsidR="00FF44C1" w:rsidRPr="003D1795" w14:paraId="678ABFC6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325DC03E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Štítná žláza a žlázy s vnitřní sekrecí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51A4E38A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9 541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3DBA0DE2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114 828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25B36E65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9 926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6F9EE39E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126 383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3D8F16D0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10 280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356B117D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136 069</w:t>
            </w:r>
          </w:p>
        </w:tc>
      </w:tr>
      <w:tr w:rsidR="00FF44C1" w:rsidRPr="003D1795" w14:paraId="4B13EFC0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50EC0730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Přesně neurčená lokalizace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09DCAABC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12 889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718EB028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424 083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0A08E1C6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12 745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11CA2A7F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384 448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13CCFB25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12 844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39CB65FA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424 141</w:t>
            </w:r>
          </w:p>
        </w:tc>
      </w:tr>
      <w:tr w:rsidR="00FF44C1" w:rsidRPr="003D1795" w14:paraId="530CF508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56E180F9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Mízní, krvetvorné a příbuzné tkáně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241DC3B3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25 560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24E96B71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3 622 739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29CB977B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25 873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027F23D4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3 977 120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628E1CD5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26 908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00F506A7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4 467 136</w:t>
            </w:r>
          </w:p>
        </w:tc>
      </w:tr>
      <w:tr w:rsidR="00FF44C1" w:rsidRPr="003D1795" w14:paraId="2AB6388E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33210EDF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Mnohočetné samostatné lokalizace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16445396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56475B69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1 196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0A8AB4A6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0640EE32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1 341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03FE95E3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58C8CEE6" w14:textId="77777777" w:rsidR="00FF44C1" w:rsidRPr="003D1795" w:rsidRDefault="00FF44C1" w:rsidP="00FF44C1">
            <w:pPr>
              <w:spacing w:before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1 436</w:t>
            </w:r>
          </w:p>
        </w:tc>
      </w:tr>
      <w:tr w:rsidR="00FF44C1" w:rsidRPr="003D1795" w14:paraId="340D52A6" w14:textId="77777777" w:rsidTr="008B43C6">
        <w:trPr>
          <w:trHeight w:hRule="exact" w:val="680"/>
        </w:trPr>
        <w:tc>
          <w:tcPr>
            <w:tcW w:w="1960" w:type="dxa"/>
            <w:shd w:val="clear" w:color="auto" w:fill="C0504D"/>
            <w:vAlign w:val="center"/>
          </w:tcPr>
          <w:p w14:paraId="2BA461C0" w14:textId="77777777" w:rsidR="00FF44C1" w:rsidRPr="003D1795" w:rsidRDefault="00FF44C1" w:rsidP="00FF44C1">
            <w:pPr>
              <w:keepNext/>
              <w:keepLines/>
              <w:spacing w:before="0" w:line="276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Celkem</w:t>
            </w:r>
          </w:p>
        </w:tc>
        <w:tc>
          <w:tcPr>
            <w:tcW w:w="1007" w:type="dxa"/>
            <w:shd w:val="clear" w:color="auto" w:fill="EFD3D2"/>
            <w:vAlign w:val="center"/>
          </w:tcPr>
          <w:p w14:paraId="5C46C523" w14:textId="77777777" w:rsidR="00FF44C1" w:rsidRPr="003D1795" w:rsidRDefault="00FF44C1" w:rsidP="00FF44C1">
            <w:pPr>
              <w:keepNext/>
              <w:keepLines/>
              <w:spacing w:before="0" w:line="27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1795">
              <w:rPr>
                <w:b/>
                <w:color w:val="000000"/>
                <w:sz w:val="18"/>
                <w:szCs w:val="18"/>
              </w:rPr>
              <w:t>301 078*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2205A702" w14:textId="77777777" w:rsidR="00FF44C1" w:rsidRPr="003D1795" w:rsidRDefault="00FF44C1" w:rsidP="00FF44C1">
            <w:pPr>
              <w:keepNext/>
              <w:keepLines/>
              <w:spacing w:before="0" w:line="27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1795">
              <w:rPr>
                <w:b/>
                <w:color w:val="000000"/>
                <w:sz w:val="18"/>
                <w:szCs w:val="18"/>
              </w:rPr>
              <w:t>16 193 367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4DE4C2A8" w14:textId="77777777" w:rsidR="00FF44C1" w:rsidRPr="003D1795" w:rsidRDefault="00FF44C1" w:rsidP="00FF44C1">
            <w:pPr>
              <w:spacing w:before="0" w:line="276" w:lineRule="auto"/>
              <w:jc w:val="right"/>
              <w:rPr>
                <w:b/>
                <w:bCs/>
                <w:color w:val="000000"/>
                <w:szCs w:val="20"/>
              </w:rPr>
            </w:pPr>
            <w:r w:rsidRPr="003D1795">
              <w:rPr>
                <w:b/>
                <w:bCs/>
                <w:color w:val="000000"/>
                <w:szCs w:val="20"/>
              </w:rPr>
              <w:t>302 510*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5C0C7315" w14:textId="77777777" w:rsidR="00FF44C1" w:rsidRPr="003D1795" w:rsidRDefault="00FF44C1" w:rsidP="00FF44C1">
            <w:pPr>
              <w:spacing w:before="0" w:line="276" w:lineRule="auto"/>
              <w:jc w:val="right"/>
              <w:rPr>
                <w:b/>
                <w:bCs/>
                <w:color w:val="000000"/>
                <w:szCs w:val="20"/>
              </w:rPr>
            </w:pPr>
            <w:r w:rsidRPr="003D1795">
              <w:rPr>
                <w:b/>
                <w:bCs/>
                <w:color w:val="000000"/>
                <w:szCs w:val="20"/>
              </w:rPr>
              <w:t>16 769 424</w:t>
            </w:r>
          </w:p>
        </w:tc>
        <w:tc>
          <w:tcPr>
            <w:tcW w:w="1134" w:type="dxa"/>
            <w:shd w:val="clear" w:color="auto" w:fill="EFD3D2"/>
            <w:vAlign w:val="center"/>
          </w:tcPr>
          <w:p w14:paraId="64A7D47A" w14:textId="77777777" w:rsidR="00FF44C1" w:rsidRPr="003D1795" w:rsidRDefault="00FF44C1" w:rsidP="00FF44C1">
            <w:pPr>
              <w:spacing w:before="0" w:line="276" w:lineRule="auto"/>
              <w:jc w:val="right"/>
              <w:rPr>
                <w:b/>
                <w:bCs/>
                <w:color w:val="000000"/>
                <w:szCs w:val="20"/>
              </w:rPr>
            </w:pPr>
            <w:r w:rsidRPr="003D1795">
              <w:rPr>
                <w:b/>
                <w:bCs/>
                <w:color w:val="000000"/>
                <w:szCs w:val="20"/>
              </w:rPr>
              <w:t>314 252*</w:t>
            </w:r>
          </w:p>
        </w:tc>
        <w:tc>
          <w:tcPr>
            <w:tcW w:w="1277" w:type="dxa"/>
            <w:shd w:val="clear" w:color="auto" w:fill="EFD3D2"/>
            <w:vAlign w:val="center"/>
          </w:tcPr>
          <w:p w14:paraId="158F4316" w14:textId="77777777" w:rsidR="00FF44C1" w:rsidRPr="003D1795" w:rsidRDefault="00FF44C1" w:rsidP="00FF44C1">
            <w:pPr>
              <w:spacing w:before="0" w:line="276" w:lineRule="auto"/>
              <w:jc w:val="right"/>
              <w:rPr>
                <w:b/>
                <w:bCs/>
                <w:color w:val="000000"/>
                <w:szCs w:val="20"/>
              </w:rPr>
            </w:pPr>
            <w:r w:rsidRPr="003D1795">
              <w:rPr>
                <w:b/>
                <w:bCs/>
                <w:color w:val="000000"/>
                <w:szCs w:val="20"/>
              </w:rPr>
              <w:t>19 300 743</w:t>
            </w:r>
          </w:p>
        </w:tc>
      </w:tr>
    </w:tbl>
    <w:bookmarkEnd w:id="0"/>
    <w:p w14:paraId="7E2871DC" w14:textId="77777777" w:rsidR="00FF44C1" w:rsidRPr="003D1795" w:rsidRDefault="00FF44C1" w:rsidP="00FF44C1">
      <w:pPr>
        <w:spacing w:before="0" w:line="276" w:lineRule="auto"/>
        <w:jc w:val="both"/>
        <w:rPr>
          <w:rStyle w:val="Zdraznn"/>
          <w:color w:val="212121"/>
          <w:shd w:val="clear" w:color="auto" w:fill="FFFFFF"/>
        </w:rPr>
      </w:pPr>
      <w:r w:rsidRPr="003D1795">
        <w:rPr>
          <w:rStyle w:val="Zdraznn"/>
          <w:color w:val="212121"/>
          <w:shd w:val="clear" w:color="auto" w:fill="FFFFFF"/>
        </w:rPr>
        <w:t>*Součet pacientů ve všech uvedených skupinách neodpovídá celkovému počtu pacientů s libovolnou onkologickou diagnózou – někteří jsou totiž uvedeni ve více skupinách, protože u nich nemoc postihla více orgánů</w:t>
      </w:r>
    </w:p>
    <w:p w14:paraId="70A4F0AB" w14:textId="77777777" w:rsidR="00FF44C1" w:rsidRPr="003D1795" w:rsidRDefault="00FF44C1" w:rsidP="00FF44C1">
      <w:pPr>
        <w:spacing w:before="0" w:line="276" w:lineRule="auto"/>
        <w:jc w:val="both"/>
        <w:rPr>
          <w:i/>
          <w:iCs/>
          <w:color w:val="212121"/>
          <w:shd w:val="clear" w:color="auto" w:fill="FFFFFF"/>
        </w:rPr>
      </w:pPr>
    </w:p>
    <w:p w14:paraId="02B1B1C2" w14:textId="77777777" w:rsidR="00FF44C1" w:rsidRPr="004A3BEF" w:rsidRDefault="00FF44C1" w:rsidP="00FF44C1">
      <w:pPr>
        <w:spacing w:before="0" w:line="276" w:lineRule="auto"/>
        <w:jc w:val="both"/>
        <w:rPr>
          <w:b/>
          <w:szCs w:val="20"/>
        </w:rPr>
      </w:pPr>
      <w:bookmarkStart w:id="1" w:name="_Hlk134520785"/>
      <w:bookmarkStart w:id="2" w:name="_GoBack"/>
      <w:r w:rsidRPr="004A3BEF">
        <w:rPr>
          <w:b/>
          <w:szCs w:val="20"/>
        </w:rPr>
        <w:t>Český den proti rakovině</w:t>
      </w:r>
    </w:p>
    <w:p w14:paraId="1376D377" w14:textId="52BB704F" w:rsidR="00FF44C1" w:rsidRPr="003D1795" w:rsidRDefault="00FF44C1" w:rsidP="00FF44C1">
      <w:pPr>
        <w:spacing w:before="0" w:line="276" w:lineRule="auto"/>
        <w:jc w:val="both"/>
        <w:rPr>
          <w:szCs w:val="20"/>
        </w:rPr>
      </w:pPr>
      <w:r w:rsidRPr="003D1795">
        <w:rPr>
          <w:szCs w:val="20"/>
        </w:rPr>
        <w:t xml:space="preserve">Měsíc květen bývá v České republice spojován s tzv. květinovým dnem organizovaným Ligou proti rakovině v rámci </w:t>
      </w:r>
      <w:hyperlink r:id="rId11" w:history="1">
        <w:r w:rsidRPr="00BF69C5">
          <w:rPr>
            <w:rStyle w:val="Hypertextovodkaz"/>
            <w:szCs w:val="20"/>
          </w:rPr>
          <w:t>Českého dne proti rakovině</w:t>
        </w:r>
      </w:hyperlink>
      <w:r>
        <w:rPr>
          <w:szCs w:val="20"/>
        </w:rPr>
        <w:t>, který se letos uskuteční 10. května</w:t>
      </w:r>
      <w:r w:rsidRPr="003D1795">
        <w:rPr>
          <w:szCs w:val="20"/>
        </w:rPr>
        <w:t xml:space="preserve">. Letošní ročník je zaměřen na nádory průdušek a plic – prevence. Rakovina plic patří k rizikovějším onkologickým onemocnění, protože plíce nebolí, pacienti první příznaky podcení a pak přicházejí na vyšetření až když je pozdě. V loňském roce se s nádory plic a dýchacího ústrojí léčilo 16 </w:t>
      </w:r>
      <w:r w:rsidR="00F01D09">
        <w:rPr>
          <w:szCs w:val="20"/>
        </w:rPr>
        <w:t>000</w:t>
      </w:r>
      <w:r w:rsidRPr="003D1795">
        <w:rPr>
          <w:szCs w:val="20"/>
        </w:rPr>
        <w:t xml:space="preserve"> klientů VZP ČR, pojišťovna za jejich léčbu zaplatila </w:t>
      </w:r>
      <w:r w:rsidR="00F01D09">
        <w:rPr>
          <w:szCs w:val="20"/>
        </w:rPr>
        <w:t>více než</w:t>
      </w:r>
      <w:r w:rsidRPr="003D1795">
        <w:rPr>
          <w:szCs w:val="20"/>
        </w:rPr>
        <w:t xml:space="preserve"> 1,7 m</w:t>
      </w:r>
      <w:r w:rsidR="00F01D09">
        <w:rPr>
          <w:szCs w:val="20"/>
        </w:rPr>
        <w:t>ld. Kč</w:t>
      </w:r>
      <w:r w:rsidRPr="003D1795">
        <w:rPr>
          <w:szCs w:val="20"/>
        </w:rPr>
        <w:t>.</w:t>
      </w:r>
    </w:p>
    <w:p w14:paraId="509B3147" w14:textId="77777777" w:rsidR="00FF44C1" w:rsidRPr="003D1795" w:rsidRDefault="00FF44C1" w:rsidP="00FF44C1">
      <w:pPr>
        <w:spacing w:before="0" w:line="276" w:lineRule="auto"/>
        <w:jc w:val="both"/>
        <w:rPr>
          <w:szCs w:val="20"/>
        </w:rPr>
      </w:pPr>
    </w:p>
    <w:p w14:paraId="6CBE61B5" w14:textId="478239DA" w:rsidR="00FF44C1" w:rsidRPr="003D1795" w:rsidRDefault="00FF44C1" w:rsidP="00FF44C1">
      <w:pPr>
        <w:spacing w:before="0" w:line="276" w:lineRule="auto"/>
        <w:jc w:val="both"/>
        <w:rPr>
          <w:szCs w:val="20"/>
        </w:rPr>
      </w:pPr>
      <w:r w:rsidRPr="003D1795">
        <w:rPr>
          <w:szCs w:val="20"/>
        </w:rPr>
        <w:t xml:space="preserve">Ve včasné diagnostice plic pomáhá </w:t>
      </w:r>
      <w:r w:rsidR="00F01D09">
        <w:rPr>
          <w:szCs w:val="20"/>
        </w:rPr>
        <w:t xml:space="preserve">od loňského roku také </w:t>
      </w:r>
      <w:proofErr w:type="spellStart"/>
      <w:r w:rsidRPr="003D1795">
        <w:rPr>
          <w:szCs w:val="20"/>
        </w:rPr>
        <w:t>screening</w:t>
      </w:r>
      <w:proofErr w:type="spellEnd"/>
      <w:r w:rsidRPr="003D1795">
        <w:rPr>
          <w:szCs w:val="20"/>
        </w:rPr>
        <w:t xml:space="preserve"> plic, který je určen pro lidi mezi 55 až 74 lety, kteří </w:t>
      </w:r>
      <w:r w:rsidR="00F01D09">
        <w:rPr>
          <w:szCs w:val="20"/>
        </w:rPr>
        <w:t xml:space="preserve">dlouhodobě </w:t>
      </w:r>
      <w:r w:rsidRPr="003D1795">
        <w:rPr>
          <w:szCs w:val="20"/>
        </w:rPr>
        <w:t xml:space="preserve">kouří dvacet </w:t>
      </w:r>
      <w:r w:rsidR="00F01D09">
        <w:rPr>
          <w:szCs w:val="20"/>
        </w:rPr>
        <w:t xml:space="preserve">a více </w:t>
      </w:r>
      <w:r w:rsidRPr="003D1795">
        <w:rPr>
          <w:szCs w:val="20"/>
        </w:rPr>
        <w:t xml:space="preserve">cigaret denně </w:t>
      </w:r>
      <w:r w:rsidR="00F01D09">
        <w:rPr>
          <w:szCs w:val="20"/>
        </w:rPr>
        <w:t>(nebo pro bývalé silné kuřáky). Dosud</w:t>
      </w:r>
      <w:r w:rsidRPr="00274C13">
        <w:rPr>
          <w:szCs w:val="20"/>
        </w:rPr>
        <w:t xml:space="preserve"> se zapojením do </w:t>
      </w:r>
      <w:proofErr w:type="spellStart"/>
      <w:r w:rsidRPr="00274C13">
        <w:rPr>
          <w:szCs w:val="20"/>
        </w:rPr>
        <w:t>screeningu</w:t>
      </w:r>
      <w:proofErr w:type="spellEnd"/>
      <w:r w:rsidRPr="00274C13">
        <w:rPr>
          <w:szCs w:val="20"/>
        </w:rPr>
        <w:t xml:space="preserve"> </w:t>
      </w:r>
      <w:r w:rsidR="00F01D09">
        <w:rPr>
          <w:szCs w:val="20"/>
        </w:rPr>
        <w:t xml:space="preserve">souhlasilo </w:t>
      </w:r>
      <w:r w:rsidRPr="00274C13">
        <w:rPr>
          <w:szCs w:val="20"/>
        </w:rPr>
        <w:t xml:space="preserve">5 000 klientů </w:t>
      </w:r>
      <w:r w:rsidR="00F01D09">
        <w:rPr>
          <w:szCs w:val="20"/>
        </w:rPr>
        <w:t xml:space="preserve">VZP </w:t>
      </w:r>
      <w:r w:rsidRPr="00274C13">
        <w:rPr>
          <w:szCs w:val="20"/>
        </w:rPr>
        <w:t>(z 8 000 oslovených)</w:t>
      </w:r>
      <w:r w:rsidR="00F01D09">
        <w:rPr>
          <w:szCs w:val="20"/>
        </w:rPr>
        <w:t xml:space="preserve"> a </w:t>
      </w:r>
      <w:r w:rsidRPr="00274C13">
        <w:rPr>
          <w:szCs w:val="20"/>
        </w:rPr>
        <w:t>zachyceno bylo 85 nádorů. Mezi sledovanými převažovali muži (3 000).</w:t>
      </w:r>
    </w:p>
    <w:bookmarkEnd w:id="1"/>
    <w:bookmarkEnd w:id="2"/>
    <w:p w14:paraId="07F5832A" w14:textId="77777777" w:rsidR="00BF69C5" w:rsidRDefault="00BF69C5" w:rsidP="00FF44C1">
      <w:pPr>
        <w:spacing w:before="0" w:line="276" w:lineRule="auto"/>
        <w:jc w:val="both"/>
        <w:rPr>
          <w:szCs w:val="20"/>
        </w:rPr>
      </w:pPr>
    </w:p>
    <w:p w14:paraId="338F7EF5" w14:textId="7BD07A6C" w:rsidR="00FF44C1" w:rsidRPr="00BF69C5" w:rsidRDefault="00FF44C1" w:rsidP="00FF44C1">
      <w:pPr>
        <w:spacing w:before="0" w:line="276" w:lineRule="auto"/>
        <w:jc w:val="both"/>
        <w:rPr>
          <w:b/>
          <w:szCs w:val="20"/>
        </w:rPr>
      </w:pPr>
      <w:r w:rsidRPr="003D1795">
        <w:rPr>
          <w:b/>
          <w:szCs w:val="20"/>
        </w:rPr>
        <w:t xml:space="preserve">Prevence </w:t>
      </w:r>
    </w:p>
    <w:p w14:paraId="23065C64" w14:textId="77777777" w:rsidR="00FF44C1" w:rsidRPr="003D1795" w:rsidRDefault="00FF44C1" w:rsidP="00FF44C1">
      <w:pPr>
        <w:spacing w:before="0" w:line="276" w:lineRule="auto"/>
        <w:jc w:val="both"/>
        <w:rPr>
          <w:szCs w:val="20"/>
        </w:rPr>
      </w:pPr>
      <w:r w:rsidRPr="003D1795">
        <w:rPr>
          <w:szCs w:val="20"/>
        </w:rPr>
        <w:t xml:space="preserve">Všeobecná zdravotní pojišťovna dlouhodobě zdůrazňuje důležitost pravidelných </w:t>
      </w:r>
      <w:hyperlink r:id="rId12" w:history="1">
        <w:r w:rsidRPr="003D1795">
          <w:rPr>
            <w:rStyle w:val="Hypertextovodkaz"/>
            <w:szCs w:val="20"/>
          </w:rPr>
          <w:t>preventivních prohlídek a screeningových vyšetření</w:t>
        </w:r>
      </w:hyperlink>
      <w:r w:rsidRPr="003D1795">
        <w:rPr>
          <w:szCs w:val="20"/>
        </w:rPr>
        <w:t xml:space="preserve"> v rámci zdravotního pojištění. Díky těmto vyšetřením lze detekovat rakovinu v raném stadiu, kdy lidé ještě nemají žádné příznaky či potíže a šance na jejich vyléčení jsou téměř stoprocentní. Pojištěncům, kteří na tyto prohlídky a </w:t>
      </w:r>
      <w:proofErr w:type="spellStart"/>
      <w:r w:rsidRPr="003D1795">
        <w:rPr>
          <w:szCs w:val="20"/>
        </w:rPr>
        <w:t>screeningy</w:t>
      </w:r>
      <w:proofErr w:type="spellEnd"/>
      <w:r w:rsidRPr="003D1795">
        <w:rPr>
          <w:szCs w:val="20"/>
        </w:rPr>
        <w:t xml:space="preserve"> nechodí, posílá VZP už řadu let </w:t>
      </w:r>
      <w:hyperlink r:id="rId13" w:history="1">
        <w:r w:rsidRPr="003D1795">
          <w:rPr>
            <w:rStyle w:val="Hypertextovodkaz"/>
            <w:szCs w:val="20"/>
          </w:rPr>
          <w:t>zvací dopis</w:t>
        </w:r>
      </w:hyperlink>
      <w:r w:rsidRPr="003D1795">
        <w:rPr>
          <w:rStyle w:val="Hypertextovodkaz"/>
          <w:szCs w:val="20"/>
        </w:rPr>
        <w:t>y</w:t>
      </w:r>
      <w:r w:rsidRPr="003D1795">
        <w:rPr>
          <w:szCs w:val="20"/>
        </w:rPr>
        <w:t>. I díky tomu se míra přežití onkologických onemocnění zlepšila, nicméně naše republika stále zaostává za průměrem EU. (OECD)</w:t>
      </w:r>
    </w:p>
    <w:p w14:paraId="46132492" w14:textId="77777777" w:rsidR="00FF44C1" w:rsidRPr="003D1795" w:rsidRDefault="00FF44C1" w:rsidP="00FF44C1">
      <w:pPr>
        <w:spacing w:before="0" w:line="276" w:lineRule="auto"/>
        <w:jc w:val="both"/>
        <w:rPr>
          <w:szCs w:val="20"/>
        </w:rPr>
      </w:pPr>
    </w:p>
    <w:p w14:paraId="676ED060" w14:textId="77777777" w:rsidR="00FF44C1" w:rsidRPr="003D1795" w:rsidRDefault="00FF44C1" w:rsidP="00FF44C1">
      <w:pPr>
        <w:spacing w:before="0" w:line="276" w:lineRule="auto"/>
        <w:jc w:val="both"/>
        <w:rPr>
          <w:szCs w:val="20"/>
        </w:rPr>
      </w:pPr>
      <w:r w:rsidRPr="003D1795">
        <w:rPr>
          <w:szCs w:val="20"/>
        </w:rPr>
        <w:lastRenderedPageBreak/>
        <w:t xml:space="preserve">Nad rámec zdravotního pojištění mohou zájemci o </w:t>
      </w:r>
      <w:hyperlink r:id="rId14" w:history="1">
        <w:r w:rsidRPr="003D1795">
          <w:rPr>
            <w:rStyle w:val="Hypertextovodkaz"/>
            <w:szCs w:val="20"/>
          </w:rPr>
          <w:t>preventivní onkologicko</w:t>
        </w:r>
        <w:r>
          <w:rPr>
            <w:rStyle w:val="Hypertextovodkaz"/>
            <w:szCs w:val="20"/>
          </w:rPr>
          <w:t>u</w:t>
        </w:r>
        <w:r w:rsidRPr="003D1795">
          <w:rPr>
            <w:rStyle w:val="Hypertextovodkaz"/>
            <w:szCs w:val="20"/>
          </w:rPr>
          <w:t xml:space="preserve"> prohlídku</w:t>
        </w:r>
      </w:hyperlink>
      <w:r w:rsidRPr="003D1795">
        <w:rPr>
          <w:szCs w:val="20"/>
        </w:rPr>
        <w:t xml:space="preserve"> navštívit některé ze spolupracujících pracovišť; pojišťovna jim na vyšetření přispěje částkou až 3 000 Kč. VZP dále svým klientům přispívá </w:t>
      </w:r>
      <w:hyperlink r:id="rId15" w:history="1">
        <w:r w:rsidRPr="003D1795">
          <w:rPr>
            <w:rStyle w:val="Hypertextovodkaz"/>
            <w:szCs w:val="20"/>
          </w:rPr>
          <w:t>500 Kč na vyšetření kožních znamének a ultrazvukové vyšetření prsou.</w:t>
        </w:r>
      </w:hyperlink>
      <w:r w:rsidRPr="003D1795">
        <w:rPr>
          <w:szCs w:val="20"/>
        </w:rPr>
        <w:t xml:space="preserve"> Nejčastější příčinou vzniku rakoviny plic je kouření, a proto pojišťovna také přispívá svým klientům 1000 Kč na </w:t>
      </w:r>
      <w:hyperlink r:id="rId16" w:history="1">
        <w:r w:rsidRPr="003D1795">
          <w:rPr>
            <w:rStyle w:val="Hypertextovodkaz"/>
            <w:szCs w:val="20"/>
          </w:rPr>
          <w:t>odvykání kouření</w:t>
        </w:r>
      </w:hyperlink>
      <w:r w:rsidRPr="003D1795">
        <w:rPr>
          <w:szCs w:val="20"/>
        </w:rPr>
        <w:t>.</w:t>
      </w:r>
    </w:p>
    <w:p w14:paraId="213CDCD3" w14:textId="77777777" w:rsidR="00FF44C1" w:rsidRPr="003D1795" w:rsidRDefault="00FF44C1" w:rsidP="00FF44C1">
      <w:pPr>
        <w:spacing w:before="0" w:line="276" w:lineRule="auto"/>
        <w:jc w:val="both"/>
        <w:rPr>
          <w:szCs w:val="20"/>
        </w:rPr>
      </w:pPr>
    </w:p>
    <w:p w14:paraId="36F05E59" w14:textId="77777777" w:rsidR="00FF44C1" w:rsidRPr="003D1795" w:rsidRDefault="00FF44C1" w:rsidP="00FF44C1">
      <w:pPr>
        <w:spacing w:before="0" w:line="276" w:lineRule="auto"/>
        <w:jc w:val="both"/>
        <w:rPr>
          <w:szCs w:val="20"/>
        </w:rPr>
      </w:pPr>
      <w:r w:rsidRPr="003D1795">
        <w:rPr>
          <w:szCs w:val="20"/>
        </w:rPr>
        <w:t xml:space="preserve">Všechny klienty, kteří dbají o své zdraví a kteří absolvují </w:t>
      </w:r>
      <w:hyperlink r:id="rId17" w:history="1">
        <w:r w:rsidRPr="003D1795">
          <w:rPr>
            <w:rStyle w:val="Hypertextovodkaz"/>
            <w:szCs w:val="20"/>
          </w:rPr>
          <w:t>preventivní screeningové vyšetření</w:t>
        </w:r>
      </w:hyperlink>
      <w:r w:rsidRPr="003D1795">
        <w:rPr>
          <w:szCs w:val="20"/>
        </w:rPr>
        <w:t xml:space="preserve"> (</w:t>
      </w:r>
      <w:proofErr w:type="spellStart"/>
      <w:r w:rsidRPr="003D1795">
        <w:rPr>
          <w:szCs w:val="20"/>
        </w:rPr>
        <w:t>screening</w:t>
      </w:r>
      <w:proofErr w:type="spellEnd"/>
      <w:r w:rsidRPr="003D1795">
        <w:rPr>
          <w:szCs w:val="20"/>
        </w:rPr>
        <w:t xml:space="preserve"> nádorů prsu, </w:t>
      </w:r>
      <w:proofErr w:type="spellStart"/>
      <w:r w:rsidRPr="003D1795">
        <w:rPr>
          <w:szCs w:val="20"/>
        </w:rPr>
        <w:t>kolorekta</w:t>
      </w:r>
      <w:proofErr w:type="spellEnd"/>
      <w:r w:rsidRPr="003D1795">
        <w:rPr>
          <w:szCs w:val="20"/>
        </w:rPr>
        <w:t xml:space="preserve"> nebo děložního hrdla) odmění VZP tisícovkou třeba na masáž, pobyt v solné jeskyni či plavání. </w:t>
      </w:r>
    </w:p>
    <w:p w14:paraId="52668BD4" w14:textId="77777777" w:rsidR="00692259" w:rsidRDefault="00692259" w:rsidP="00FF44C1">
      <w:pPr>
        <w:spacing w:before="0" w:line="276" w:lineRule="auto"/>
        <w:rPr>
          <w:b/>
          <w:bCs/>
          <w:szCs w:val="20"/>
        </w:rPr>
      </w:pPr>
    </w:p>
    <w:p w14:paraId="465AF1C0" w14:textId="1434D037" w:rsidR="00995BAE" w:rsidRPr="00117FF2" w:rsidRDefault="00526A50" w:rsidP="00FF44C1">
      <w:pPr>
        <w:spacing w:before="0" w:line="276" w:lineRule="auto"/>
        <w:rPr>
          <w:b/>
          <w:bCs/>
          <w:szCs w:val="20"/>
        </w:rPr>
      </w:pPr>
      <w:r>
        <w:rPr>
          <w:b/>
          <w:bCs/>
          <w:szCs w:val="20"/>
        </w:rPr>
        <w:t>Viktorie Plívová</w:t>
      </w:r>
    </w:p>
    <w:p w14:paraId="29F91A9C" w14:textId="6787658C" w:rsidR="00995BAE" w:rsidRPr="00117FF2" w:rsidRDefault="00526A50" w:rsidP="00FF44C1">
      <w:pPr>
        <w:spacing w:before="0" w:line="276" w:lineRule="auto"/>
        <w:rPr>
          <w:szCs w:val="20"/>
        </w:rPr>
      </w:pPr>
      <w:r>
        <w:rPr>
          <w:szCs w:val="20"/>
        </w:rPr>
        <w:t>Tisková mluvčí</w:t>
      </w:r>
    </w:p>
    <w:sectPr w:rsidR="00995BAE" w:rsidRPr="00117FF2" w:rsidSect="00F920F3">
      <w:footerReference w:type="default" r:id="rId18"/>
      <w:pgSz w:w="11906" w:h="16838"/>
      <w:pgMar w:top="1417" w:right="1417" w:bottom="184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7EDE4" w14:textId="77777777" w:rsidR="00BA2609" w:rsidRDefault="00BA2609" w:rsidP="00844E5F">
      <w:pPr>
        <w:spacing w:before="0" w:line="240" w:lineRule="auto"/>
      </w:pPr>
      <w:r>
        <w:separator/>
      </w:r>
    </w:p>
  </w:endnote>
  <w:endnote w:type="continuationSeparator" w:id="0">
    <w:p w14:paraId="0BB47E6B" w14:textId="77777777" w:rsidR="00BA2609" w:rsidRDefault="00BA2609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Inter">
    <w:altName w:val="Calibri"/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1D87A" w14:textId="77777777" w:rsidR="00BA2609" w:rsidRDefault="00BA2609" w:rsidP="00844E5F">
      <w:pPr>
        <w:spacing w:before="0" w:line="240" w:lineRule="auto"/>
      </w:pPr>
      <w:r>
        <w:separator/>
      </w:r>
    </w:p>
  </w:footnote>
  <w:footnote w:type="continuationSeparator" w:id="0">
    <w:p w14:paraId="73CC4937" w14:textId="77777777" w:rsidR="00BA2609" w:rsidRDefault="00BA2609" w:rsidP="00844E5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249DD"/>
    <w:rsid w:val="00082A67"/>
    <w:rsid w:val="000F0D97"/>
    <w:rsid w:val="000F600B"/>
    <w:rsid w:val="00111EF0"/>
    <w:rsid w:val="00117FF2"/>
    <w:rsid w:val="0016318C"/>
    <w:rsid w:val="0017097A"/>
    <w:rsid w:val="00173A2F"/>
    <w:rsid w:val="00190EE7"/>
    <w:rsid w:val="001C5526"/>
    <w:rsid w:val="00250A59"/>
    <w:rsid w:val="002539D7"/>
    <w:rsid w:val="002E32D0"/>
    <w:rsid w:val="00322A4A"/>
    <w:rsid w:val="00372F77"/>
    <w:rsid w:val="00383732"/>
    <w:rsid w:val="00391204"/>
    <w:rsid w:val="003D5F56"/>
    <w:rsid w:val="003F2E5F"/>
    <w:rsid w:val="003F6E42"/>
    <w:rsid w:val="004359B2"/>
    <w:rsid w:val="00454E77"/>
    <w:rsid w:val="004675A2"/>
    <w:rsid w:val="004A77F8"/>
    <w:rsid w:val="00526A50"/>
    <w:rsid w:val="00550B65"/>
    <w:rsid w:val="0055776A"/>
    <w:rsid w:val="005735D4"/>
    <w:rsid w:val="006445EF"/>
    <w:rsid w:val="006535BC"/>
    <w:rsid w:val="00691317"/>
    <w:rsid w:val="00692259"/>
    <w:rsid w:val="006C05CA"/>
    <w:rsid w:val="006E2FF8"/>
    <w:rsid w:val="006F103F"/>
    <w:rsid w:val="00712BC5"/>
    <w:rsid w:val="00721A96"/>
    <w:rsid w:val="00773145"/>
    <w:rsid w:val="007C63D9"/>
    <w:rsid w:val="00844E5F"/>
    <w:rsid w:val="008823D4"/>
    <w:rsid w:val="00892F70"/>
    <w:rsid w:val="008D26F1"/>
    <w:rsid w:val="008D3E0A"/>
    <w:rsid w:val="00980B26"/>
    <w:rsid w:val="00990166"/>
    <w:rsid w:val="00995BAE"/>
    <w:rsid w:val="009A5375"/>
    <w:rsid w:val="009B432F"/>
    <w:rsid w:val="009C483E"/>
    <w:rsid w:val="009D4881"/>
    <w:rsid w:val="00A2490D"/>
    <w:rsid w:val="00A34F8C"/>
    <w:rsid w:val="00A35BE7"/>
    <w:rsid w:val="00A371DD"/>
    <w:rsid w:val="00A770CA"/>
    <w:rsid w:val="00A90703"/>
    <w:rsid w:val="00AD3AFC"/>
    <w:rsid w:val="00AD4972"/>
    <w:rsid w:val="00AE224E"/>
    <w:rsid w:val="00B63E32"/>
    <w:rsid w:val="00B76A28"/>
    <w:rsid w:val="00B81F16"/>
    <w:rsid w:val="00B90EBA"/>
    <w:rsid w:val="00BA2609"/>
    <w:rsid w:val="00BB023A"/>
    <w:rsid w:val="00BC0BD9"/>
    <w:rsid w:val="00BE6D66"/>
    <w:rsid w:val="00BF69C5"/>
    <w:rsid w:val="00CF3D87"/>
    <w:rsid w:val="00D52D46"/>
    <w:rsid w:val="00D63481"/>
    <w:rsid w:val="00D72CF4"/>
    <w:rsid w:val="00D74502"/>
    <w:rsid w:val="00D9066F"/>
    <w:rsid w:val="00DB017F"/>
    <w:rsid w:val="00DF7A80"/>
    <w:rsid w:val="00E069DE"/>
    <w:rsid w:val="00E73E81"/>
    <w:rsid w:val="00F019E9"/>
    <w:rsid w:val="00F01D09"/>
    <w:rsid w:val="00F62A52"/>
    <w:rsid w:val="00F64632"/>
    <w:rsid w:val="00F920F3"/>
    <w:rsid w:val="00FC3E11"/>
    <w:rsid w:val="00FF44C1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2E5F"/>
    <w:pPr>
      <w:spacing w:before="24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  <w:style w:type="character" w:styleId="Zdraznn">
    <w:name w:val="Emphasis"/>
    <w:uiPriority w:val="20"/>
    <w:qFormat/>
    <w:rsid w:val="00FF44C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F69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zp.cz/pojistenci/prevence/projekt-adresneho-zvani-na-onkologickou-prevenci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vzp.cz/pojistenci/prevence/preventivni-prohlidky" TargetMode="External"/><Relationship Id="rId17" Type="http://schemas.openxmlformats.org/officeDocument/2006/relationships/hyperlink" Target="https://www.vzp.cz/pojistenci/prevence/preventivni-prohlidk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zp.cz/pojistenci/vyhody-a-prispevky/prevence/odvykani-kouren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pr.c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vzp.cz/pojistenci/vyhody-a-prispevky/prevence/onkologicke-osetreni-u-specialistu" TargetMode="External"/><Relationship Id="rId10" Type="http://schemas.openxmlformats.org/officeDocument/2006/relationships/hyperlink" Target="https://www.oecd-ilibrary.org/social-issues-migration-health/onkologicky-profil-zeme-ceska-republika-2023_3b650e6f-c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vzp.cz/pojistenci/vyhody-a-prispevky/prevence/komplexni-onkologicka-prohlidk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customXml/itemProps2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Sixtová Jana Ing. (VZP ČR Ústředí)</dc:creator>
  <cp:keywords/>
  <dc:description/>
  <cp:lastModifiedBy>Sixtová Jana Ing. (VZP ČR Ústředí)</cp:lastModifiedBy>
  <cp:revision>3</cp:revision>
  <cp:lastPrinted>2023-05-09T06:43:00Z</cp:lastPrinted>
  <dcterms:created xsi:type="dcterms:W3CDTF">2023-05-09T08:20:00Z</dcterms:created>
  <dcterms:modified xsi:type="dcterms:W3CDTF">2023-05-09T08:33:00Z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